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CD0B" w14:textId="23470075" w:rsidR="004C6447" w:rsidRPr="00300B97" w:rsidRDefault="004C6447" w:rsidP="004C6447">
      <w:pPr>
        <w:spacing w:before="0" w:after="0"/>
        <w:outlineLvl w:val="0"/>
        <w:rPr>
          <w:rFonts w:ascii="Arial" w:eastAsia="Times New Roman" w:hAnsi="Arial" w:cs="Arial"/>
          <w:b/>
          <w:bCs/>
          <w:lang w:eastAsia="en-GB"/>
        </w:rPr>
      </w:pPr>
      <w:r w:rsidRPr="00300B97">
        <w:rPr>
          <w:rFonts w:ascii="Arial" w:eastAsia="Times New Roman" w:hAnsi="Arial" w:cs="Arial"/>
          <w:b/>
          <w:bCs/>
          <w:lang w:eastAsia="en-GB"/>
        </w:rPr>
        <w:t xml:space="preserve">Application by </w:t>
      </w:r>
      <w:r w:rsidR="00666598">
        <w:rPr>
          <w:rFonts w:ascii="Arial" w:eastAsia="Times New Roman" w:hAnsi="Arial" w:cs="Arial"/>
          <w:b/>
          <w:bCs/>
          <w:lang w:eastAsia="en-GB"/>
        </w:rPr>
        <w:t>National Highways</w:t>
      </w:r>
      <w:r w:rsidRPr="00300B97">
        <w:rPr>
          <w:rFonts w:ascii="Arial" w:eastAsia="Times New Roman" w:hAnsi="Arial" w:cs="Arial"/>
          <w:b/>
          <w:bCs/>
          <w:lang w:eastAsia="en-GB"/>
        </w:rPr>
        <w:t xml:space="preserve"> for </w:t>
      </w:r>
      <w:r w:rsidR="006365F0" w:rsidRPr="00300B97">
        <w:rPr>
          <w:rFonts w:ascii="Arial" w:eastAsia="Times New Roman" w:hAnsi="Arial" w:cs="Arial"/>
          <w:b/>
          <w:bCs/>
          <w:lang w:eastAsia="en-GB"/>
        </w:rPr>
        <w:t>A47 Wansford to Sutton Dualling</w:t>
      </w:r>
    </w:p>
    <w:p w14:paraId="2B3BE9ED" w14:textId="6E8803EB" w:rsidR="004C6447" w:rsidRPr="00300B97" w:rsidRDefault="004C6447" w:rsidP="004C6447">
      <w:pPr>
        <w:spacing w:before="120" w:after="0"/>
        <w:outlineLvl w:val="0"/>
        <w:rPr>
          <w:rFonts w:ascii="Arial" w:eastAsia="Times New Roman" w:hAnsi="Arial" w:cs="Arial"/>
          <w:b/>
          <w:bCs/>
          <w:lang w:eastAsia="en-GB"/>
        </w:rPr>
      </w:pPr>
      <w:r w:rsidRPr="00300B97">
        <w:rPr>
          <w:rFonts w:ascii="Arial" w:eastAsia="Times New Roman" w:hAnsi="Arial" w:cs="Arial"/>
          <w:b/>
          <w:bCs/>
          <w:lang w:eastAsia="en-GB"/>
        </w:rPr>
        <w:t>The Examining Authority’s further written</w:t>
      </w:r>
      <w:r w:rsidRPr="00300B97">
        <w:rPr>
          <w:rFonts w:ascii="Arial" w:eastAsia="Times New Roman" w:hAnsi="Arial" w:cs="Arial"/>
          <w:b/>
          <w:bCs/>
          <w:i/>
          <w:lang w:eastAsia="en-GB"/>
        </w:rPr>
        <w:t xml:space="preserve"> </w:t>
      </w:r>
      <w:r w:rsidRPr="00300B97">
        <w:rPr>
          <w:rFonts w:ascii="Arial" w:eastAsia="Times New Roman" w:hAnsi="Arial" w:cs="Arial"/>
          <w:b/>
          <w:bCs/>
          <w:lang w:eastAsia="en-GB"/>
        </w:rPr>
        <w:t>questions and requests for information (ExQ</w:t>
      </w:r>
      <w:r w:rsidR="00D833A8" w:rsidRPr="00300B97">
        <w:rPr>
          <w:rFonts w:ascii="Arial" w:eastAsia="Times New Roman" w:hAnsi="Arial" w:cs="Arial"/>
          <w:b/>
          <w:bCs/>
          <w:lang w:eastAsia="en-GB"/>
        </w:rPr>
        <w:t>3</w:t>
      </w:r>
      <w:r w:rsidRPr="00300B97">
        <w:rPr>
          <w:rFonts w:ascii="Arial" w:eastAsia="Times New Roman" w:hAnsi="Arial" w:cs="Arial"/>
          <w:b/>
          <w:bCs/>
          <w:lang w:eastAsia="en-GB"/>
        </w:rPr>
        <w:t>)</w:t>
      </w:r>
    </w:p>
    <w:p w14:paraId="3489F527" w14:textId="69A2305A" w:rsidR="004C6447" w:rsidRPr="00300B97" w:rsidRDefault="004C6447" w:rsidP="004C6447">
      <w:pPr>
        <w:spacing w:before="120" w:after="0"/>
        <w:outlineLvl w:val="0"/>
        <w:rPr>
          <w:rFonts w:ascii="Arial" w:eastAsia="Times New Roman" w:hAnsi="Arial" w:cs="Arial"/>
          <w:b/>
          <w:lang w:eastAsia="en-GB"/>
        </w:rPr>
      </w:pPr>
      <w:r w:rsidRPr="00300B97">
        <w:rPr>
          <w:rFonts w:ascii="Arial" w:eastAsia="Times New Roman" w:hAnsi="Arial" w:cs="Arial"/>
          <w:b/>
          <w:bCs/>
          <w:lang w:eastAsia="en-GB"/>
        </w:rPr>
        <w:t xml:space="preserve">Issued on </w:t>
      </w:r>
      <w:r w:rsidR="00900146" w:rsidRPr="00300B97">
        <w:rPr>
          <w:rFonts w:ascii="Arial" w:eastAsia="Times New Roman" w:hAnsi="Arial" w:cs="Arial"/>
          <w:b/>
          <w:bCs/>
          <w:lang w:eastAsia="en-GB"/>
        </w:rPr>
        <w:t>24</w:t>
      </w:r>
      <w:r w:rsidR="006365F0" w:rsidRPr="00300B97">
        <w:rPr>
          <w:rFonts w:ascii="Arial" w:eastAsia="Times New Roman" w:hAnsi="Arial" w:cs="Arial"/>
          <w:b/>
          <w:bCs/>
          <w:lang w:eastAsia="en-GB"/>
        </w:rPr>
        <w:t xml:space="preserve"> May 2022</w:t>
      </w:r>
    </w:p>
    <w:p w14:paraId="2B8E9AA8" w14:textId="77777777" w:rsidR="004C6447" w:rsidRPr="00300B97" w:rsidRDefault="004C6447" w:rsidP="004C6447">
      <w:pPr>
        <w:spacing w:before="0" w:after="0"/>
        <w:rPr>
          <w:rFonts w:ascii="Arial" w:eastAsia="Times New Roman" w:hAnsi="Arial" w:cs="Arial"/>
          <w:b/>
          <w:lang w:eastAsia="en-GB"/>
        </w:rPr>
      </w:pPr>
    </w:p>
    <w:p w14:paraId="18CFEF6F" w14:textId="143DE95A"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 xml:space="preserve">The following table sets out the Examining Authority’s (ExA’s) written questions and requests for information – ExQ3. If necessary, the </w:t>
      </w:r>
      <w:r w:rsidR="00AC2A8A">
        <w:rPr>
          <w:rFonts w:ascii="Arial" w:eastAsia="Times New Roman" w:hAnsi="Arial" w:cs="Arial"/>
          <w:lang w:eastAsia="en-GB"/>
        </w:rPr>
        <w:t>E</w:t>
      </w:r>
      <w:r w:rsidRPr="00300B97">
        <w:rPr>
          <w:rFonts w:ascii="Arial" w:eastAsia="Times New Roman" w:hAnsi="Arial" w:cs="Arial"/>
          <w:lang w:eastAsia="en-GB"/>
        </w:rPr>
        <w:t xml:space="preserve">xamination </w:t>
      </w:r>
      <w:r w:rsidR="00AC2A8A">
        <w:rPr>
          <w:rFonts w:ascii="Arial" w:eastAsia="Times New Roman" w:hAnsi="Arial" w:cs="Arial"/>
          <w:lang w:eastAsia="en-GB"/>
        </w:rPr>
        <w:t>T</w:t>
      </w:r>
      <w:r w:rsidRPr="00300B97">
        <w:rPr>
          <w:rFonts w:ascii="Arial" w:eastAsia="Times New Roman" w:hAnsi="Arial" w:cs="Arial"/>
          <w:lang w:eastAsia="en-GB"/>
        </w:rPr>
        <w:t xml:space="preserve">imetable enables the </w:t>
      </w:r>
      <w:proofErr w:type="spellStart"/>
      <w:r w:rsidRPr="00300B97">
        <w:rPr>
          <w:rFonts w:ascii="Arial" w:eastAsia="Times New Roman" w:hAnsi="Arial" w:cs="Arial"/>
          <w:lang w:eastAsia="en-GB"/>
        </w:rPr>
        <w:t>ExA</w:t>
      </w:r>
      <w:proofErr w:type="spellEnd"/>
      <w:r w:rsidRPr="00300B97">
        <w:rPr>
          <w:rFonts w:ascii="Arial" w:eastAsia="Times New Roman" w:hAnsi="Arial" w:cs="Arial"/>
          <w:lang w:eastAsia="en-GB"/>
        </w:rPr>
        <w:t xml:space="preserve"> to issue a further round of written questions in due course. If this is done, the further round of questions will be referred to as ExQ4.</w:t>
      </w:r>
    </w:p>
    <w:p w14:paraId="7C2124FA" w14:textId="77777777"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Questions are set out using an issues-based framework derived from the Initial Assessment of Principal Issues. Questions have been added to the framework of issues set out there as they have arisen from representations and to address the assessment of the application against relevant policies.</w:t>
      </w:r>
    </w:p>
    <w:p w14:paraId="1E9478BE" w14:textId="77777777"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Column 2 of the table indicates which Interested Parties (IPs) and other persons each question is directed to. The ExA would be grateful if all persons named could answer all questions directed to them, providing a substantive response, or indicating that the question is not relevant to them for a reason. This does not prevent an answer being provided to a question by a person to whom it is not directed, should the question be relevant to their interests.</w:t>
      </w:r>
    </w:p>
    <w:p w14:paraId="40E8D67B" w14:textId="77777777"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Each question has a unique reference number which starts with 3 (indicating that it is from ExQ3) and then has an issue number and a question number. For example, the first question on air quality and emissions issues is identified as Q3.1.1.  When you are answering a question, please start your answer by quoting the unique reference number.</w:t>
      </w:r>
    </w:p>
    <w:p w14:paraId="3F791522" w14:textId="3FE389B4"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 xml:space="preserve">If you are responding to a small number of questions, answers in a letter will suffice. If you are answering a larger number of questions, it will assist the ExA if you use a table based on this one to set out your responses. An editable version of this table in Microsoft Word is available on request from the case team: please contact </w:t>
      </w:r>
      <w:hyperlink r:id="rId11" w:history="1">
        <w:r w:rsidR="00DD3756" w:rsidRPr="00300B97">
          <w:rPr>
            <w:rStyle w:val="Hyperlink"/>
            <w:rFonts w:ascii="Arial" w:eastAsia="Times New Roman" w:hAnsi="Arial" w:cs="Arial"/>
            <w:lang w:eastAsia="en-GB"/>
          </w:rPr>
          <w:t>a47wansfordtosutton@planninginspectorate.gov.uk</w:t>
        </w:r>
      </w:hyperlink>
      <w:r w:rsidR="005A2AFF" w:rsidRPr="00300B97">
        <w:rPr>
          <w:rFonts w:ascii="Arial" w:eastAsia="Times New Roman" w:hAnsi="Arial" w:cs="Arial"/>
          <w:lang w:eastAsia="en-GB"/>
        </w:rPr>
        <w:t xml:space="preserve"> </w:t>
      </w:r>
      <w:r w:rsidRPr="00300B97">
        <w:rPr>
          <w:rFonts w:ascii="Arial" w:eastAsia="Times New Roman" w:hAnsi="Arial" w:cs="Arial"/>
          <w:lang w:eastAsia="en-GB"/>
        </w:rPr>
        <w:t>and include ‘</w:t>
      </w:r>
      <w:r w:rsidR="00F50C8D" w:rsidRPr="00300B97">
        <w:rPr>
          <w:rFonts w:ascii="Arial" w:eastAsia="Times New Roman" w:hAnsi="Arial" w:cs="Arial"/>
          <w:lang w:eastAsia="en-GB"/>
        </w:rPr>
        <w:t>A47 Wansford to Sutton</w:t>
      </w:r>
      <w:r w:rsidRPr="00300B97">
        <w:rPr>
          <w:rFonts w:ascii="Arial" w:eastAsia="Times New Roman" w:hAnsi="Arial" w:cs="Arial"/>
          <w:lang w:eastAsia="en-GB"/>
        </w:rPr>
        <w:t xml:space="preserve"> ExQ3’ in the subject line of your email.</w:t>
      </w:r>
    </w:p>
    <w:p w14:paraId="232C9B23" w14:textId="4E4A7482" w:rsidR="004C6447" w:rsidRPr="00300B97" w:rsidRDefault="004C6447" w:rsidP="004C6447">
      <w:pPr>
        <w:spacing w:before="0" w:after="0"/>
        <w:rPr>
          <w:rFonts w:ascii="Arial" w:eastAsia="Times New Roman" w:hAnsi="Arial" w:cs="Arial"/>
          <w:lang w:eastAsia="en-GB"/>
        </w:rPr>
      </w:pPr>
      <w:r w:rsidRPr="00300B97">
        <w:rPr>
          <w:rFonts w:ascii="Arial" w:eastAsia="Times New Roman" w:hAnsi="Arial" w:cs="Arial"/>
          <w:lang w:eastAsia="en-GB"/>
        </w:rPr>
        <w:t xml:space="preserve">A date for responses is </w:t>
      </w:r>
      <w:r w:rsidRPr="00300B97">
        <w:rPr>
          <w:rFonts w:ascii="Arial" w:eastAsia="Times New Roman" w:hAnsi="Arial" w:cs="Arial"/>
          <w:b/>
          <w:bCs/>
          <w:lang w:eastAsia="en-GB"/>
        </w:rPr>
        <w:t xml:space="preserve">Deadline </w:t>
      </w:r>
      <w:r w:rsidR="00DD3756" w:rsidRPr="00300B97">
        <w:rPr>
          <w:rFonts w:ascii="Arial" w:eastAsia="Times New Roman" w:hAnsi="Arial" w:cs="Arial"/>
          <w:b/>
          <w:bCs/>
          <w:lang w:eastAsia="en-GB"/>
        </w:rPr>
        <w:t>8</w:t>
      </w:r>
      <w:r w:rsidRPr="00300B97">
        <w:rPr>
          <w:rFonts w:ascii="Arial" w:eastAsia="Times New Roman" w:hAnsi="Arial" w:cs="Arial"/>
          <w:lang w:eastAsia="en-GB"/>
        </w:rPr>
        <w:t xml:space="preserve"> (</w:t>
      </w:r>
      <w:r w:rsidR="00DD3756" w:rsidRPr="00300B97">
        <w:rPr>
          <w:rFonts w:ascii="Arial" w:eastAsia="Times New Roman" w:hAnsi="Arial" w:cs="Arial"/>
          <w:lang w:eastAsia="en-GB"/>
        </w:rPr>
        <w:t>14 June 20</w:t>
      </w:r>
      <w:r w:rsidRPr="00300B97">
        <w:rPr>
          <w:rFonts w:ascii="Arial" w:eastAsia="Times New Roman" w:hAnsi="Arial" w:cs="Arial"/>
          <w:lang w:eastAsia="en-GB"/>
        </w:rPr>
        <w:t>2</w:t>
      </w:r>
      <w:r w:rsidR="00F50C8D" w:rsidRPr="00300B97">
        <w:rPr>
          <w:rFonts w:ascii="Arial" w:eastAsia="Times New Roman" w:hAnsi="Arial" w:cs="Arial"/>
          <w:lang w:eastAsia="en-GB"/>
        </w:rPr>
        <w:t>2</w:t>
      </w:r>
      <w:r w:rsidRPr="00300B97">
        <w:rPr>
          <w:rFonts w:ascii="Arial" w:eastAsia="Times New Roman" w:hAnsi="Arial" w:cs="Arial"/>
          <w:lang w:eastAsia="en-GB"/>
        </w:rPr>
        <w:t>)</w:t>
      </w:r>
      <w:r w:rsidR="0055589D" w:rsidRPr="00300B97">
        <w:rPr>
          <w:rFonts w:ascii="Arial" w:eastAsia="Times New Roman" w:hAnsi="Arial" w:cs="Arial"/>
          <w:lang w:eastAsia="en-GB"/>
        </w:rPr>
        <w:t xml:space="preserve">, </w:t>
      </w:r>
      <w:proofErr w:type="gramStart"/>
      <w:r w:rsidR="0055589D" w:rsidRPr="00300B97">
        <w:rPr>
          <w:rFonts w:ascii="Arial" w:eastAsia="Times New Roman" w:hAnsi="Arial" w:cs="Arial"/>
          <w:lang w:eastAsia="en-GB"/>
        </w:rPr>
        <w:t>with the exception of</w:t>
      </w:r>
      <w:proofErr w:type="gramEnd"/>
      <w:r w:rsidR="0055589D" w:rsidRPr="00300B97">
        <w:rPr>
          <w:rFonts w:ascii="Arial" w:eastAsia="Times New Roman" w:hAnsi="Arial" w:cs="Arial"/>
          <w:lang w:eastAsia="en-GB"/>
        </w:rPr>
        <w:t xml:space="preserve"> the response to ExQ3.0.1 which is </w:t>
      </w:r>
      <w:r w:rsidR="0055589D" w:rsidRPr="00300B97">
        <w:rPr>
          <w:rFonts w:ascii="Arial" w:eastAsia="Times New Roman" w:hAnsi="Arial" w:cs="Arial"/>
          <w:b/>
          <w:bCs/>
          <w:lang w:eastAsia="en-GB"/>
        </w:rPr>
        <w:t>Monday 6 June 20</w:t>
      </w:r>
      <w:r w:rsidR="0019637B" w:rsidRPr="00300B97">
        <w:rPr>
          <w:rFonts w:ascii="Arial" w:eastAsia="Times New Roman" w:hAnsi="Arial" w:cs="Arial"/>
          <w:b/>
          <w:bCs/>
          <w:lang w:eastAsia="en-GB"/>
        </w:rPr>
        <w:t>22</w:t>
      </w:r>
      <w:r w:rsidR="0019637B" w:rsidRPr="00300B97">
        <w:rPr>
          <w:rFonts w:ascii="Arial" w:eastAsia="Times New Roman" w:hAnsi="Arial" w:cs="Arial"/>
          <w:lang w:eastAsia="en-GB"/>
        </w:rPr>
        <w:t>.</w:t>
      </w:r>
    </w:p>
    <w:p w14:paraId="014842C5" w14:textId="77777777" w:rsidR="004C6447" w:rsidRPr="00300B97" w:rsidRDefault="004C6447" w:rsidP="004C6447">
      <w:pPr>
        <w:spacing w:before="0" w:after="0"/>
        <w:rPr>
          <w:rFonts w:ascii="Arial" w:eastAsia="Times New Roman" w:hAnsi="Arial" w:cs="Arial"/>
          <w:b/>
          <w:lang w:eastAsia="en-GB"/>
        </w:rPr>
      </w:pPr>
      <w:r w:rsidRPr="00300B97">
        <w:rPr>
          <w:rFonts w:ascii="Arial" w:eastAsia="Times New Roman" w:hAnsi="Arial" w:cs="Arial"/>
          <w:b/>
          <w:lang w:eastAsia="en-GB"/>
        </w:rPr>
        <w:br w:type="page"/>
      </w:r>
    </w:p>
    <w:p w14:paraId="4C3623C2" w14:textId="77777777" w:rsidR="004C6447" w:rsidRPr="00300B97" w:rsidRDefault="004C6447" w:rsidP="004C6447">
      <w:pPr>
        <w:spacing w:before="0" w:after="240"/>
        <w:rPr>
          <w:rFonts w:ascii="Arial" w:eastAsia="Times New Roman" w:hAnsi="Arial" w:cs="Arial"/>
          <w:b/>
          <w:lang w:eastAsia="en-GB"/>
        </w:rPr>
      </w:pPr>
      <w:r w:rsidRPr="00300B97">
        <w:rPr>
          <w:rFonts w:ascii="Arial" w:eastAsia="Times New Roman" w:hAnsi="Arial" w:cs="Arial"/>
          <w:b/>
          <w:lang w:eastAsia="en-GB"/>
        </w:rPr>
        <w:lastRenderedPageBreak/>
        <w:t>Abbreviations used</w:t>
      </w:r>
    </w:p>
    <w:tbl>
      <w:tblPr>
        <w:tblW w:w="0" w:type="auto"/>
        <w:tblLook w:val="01E0" w:firstRow="1" w:lastRow="1" w:firstColumn="1" w:lastColumn="1" w:noHBand="0" w:noVBand="0"/>
      </w:tblPr>
      <w:tblGrid>
        <w:gridCol w:w="1134"/>
        <w:gridCol w:w="4637"/>
        <w:gridCol w:w="1476"/>
        <w:gridCol w:w="6711"/>
      </w:tblGrid>
      <w:tr w:rsidR="00AC602B" w:rsidRPr="00300B97" w14:paraId="7C9DE84B" w14:textId="77777777" w:rsidTr="00D8401F">
        <w:tc>
          <w:tcPr>
            <w:tcW w:w="1134" w:type="dxa"/>
          </w:tcPr>
          <w:p w14:paraId="5406990D" w14:textId="0B6367F6"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CA</w:t>
            </w:r>
          </w:p>
        </w:tc>
        <w:tc>
          <w:tcPr>
            <w:tcW w:w="4637" w:type="dxa"/>
          </w:tcPr>
          <w:p w14:paraId="1C2A6948" w14:textId="7F980249"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Compulsory Acquisition</w:t>
            </w:r>
          </w:p>
        </w:tc>
        <w:tc>
          <w:tcPr>
            <w:tcW w:w="1476" w:type="dxa"/>
          </w:tcPr>
          <w:p w14:paraId="2215B5AA" w14:textId="59E2C15D"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NPSNN</w:t>
            </w:r>
          </w:p>
        </w:tc>
        <w:tc>
          <w:tcPr>
            <w:tcW w:w="6711" w:type="dxa"/>
          </w:tcPr>
          <w:p w14:paraId="35E711AD" w14:textId="6B20F78E"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National Policy Statement for National Networks</w:t>
            </w:r>
          </w:p>
        </w:tc>
      </w:tr>
      <w:tr w:rsidR="00AC602B" w:rsidRPr="00300B97" w14:paraId="160CB592" w14:textId="77777777" w:rsidTr="00D8401F">
        <w:tc>
          <w:tcPr>
            <w:tcW w:w="1134" w:type="dxa"/>
          </w:tcPr>
          <w:p w14:paraId="50E58C44" w14:textId="3E0D8ED2"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dDCO</w:t>
            </w:r>
          </w:p>
        </w:tc>
        <w:tc>
          <w:tcPr>
            <w:tcW w:w="4637" w:type="dxa"/>
          </w:tcPr>
          <w:p w14:paraId="1142F2D5" w14:textId="292CE595"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 xml:space="preserve">Draft DCO </w:t>
            </w:r>
          </w:p>
        </w:tc>
        <w:tc>
          <w:tcPr>
            <w:tcW w:w="1476" w:type="dxa"/>
          </w:tcPr>
          <w:p w14:paraId="506A9EF5" w14:textId="6AC5FC91"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PA2008</w:t>
            </w:r>
          </w:p>
        </w:tc>
        <w:tc>
          <w:tcPr>
            <w:tcW w:w="6711" w:type="dxa"/>
          </w:tcPr>
          <w:p w14:paraId="25610515" w14:textId="48773BCA"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Planning Act 2008 (as amended)</w:t>
            </w:r>
          </w:p>
        </w:tc>
      </w:tr>
      <w:tr w:rsidR="00AC602B" w:rsidRPr="00300B97" w14:paraId="54310CE6" w14:textId="77777777" w:rsidTr="00D8401F">
        <w:tc>
          <w:tcPr>
            <w:tcW w:w="1134" w:type="dxa"/>
          </w:tcPr>
          <w:p w14:paraId="009E6BB3" w14:textId="3A70500F"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EA</w:t>
            </w:r>
          </w:p>
        </w:tc>
        <w:tc>
          <w:tcPr>
            <w:tcW w:w="4637" w:type="dxa"/>
          </w:tcPr>
          <w:p w14:paraId="58965458" w14:textId="01BC1B81"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Environment Agency</w:t>
            </w:r>
          </w:p>
        </w:tc>
        <w:tc>
          <w:tcPr>
            <w:tcW w:w="1476" w:type="dxa"/>
          </w:tcPr>
          <w:p w14:paraId="1A2E9528" w14:textId="213D8AA1"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PCC</w:t>
            </w:r>
          </w:p>
        </w:tc>
        <w:tc>
          <w:tcPr>
            <w:tcW w:w="6711" w:type="dxa"/>
          </w:tcPr>
          <w:p w14:paraId="081CCEAA" w14:textId="50FBF896"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Peterborough City Council</w:t>
            </w:r>
          </w:p>
        </w:tc>
      </w:tr>
      <w:tr w:rsidR="00AC602B" w:rsidRPr="00300B97" w14:paraId="13F88E44" w14:textId="77777777" w:rsidTr="00D8401F">
        <w:tc>
          <w:tcPr>
            <w:tcW w:w="1134" w:type="dxa"/>
          </w:tcPr>
          <w:p w14:paraId="78C8B5C8" w14:textId="2877E55A"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EM</w:t>
            </w:r>
          </w:p>
        </w:tc>
        <w:tc>
          <w:tcPr>
            <w:tcW w:w="4637" w:type="dxa"/>
          </w:tcPr>
          <w:p w14:paraId="46F2BEE1" w14:textId="1AA67E19"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 xml:space="preserve">Explanatory Memorandum </w:t>
            </w:r>
          </w:p>
        </w:tc>
        <w:tc>
          <w:tcPr>
            <w:tcW w:w="1476" w:type="dxa"/>
          </w:tcPr>
          <w:p w14:paraId="69919614" w14:textId="6D7C71E0"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PPG</w:t>
            </w:r>
          </w:p>
        </w:tc>
        <w:tc>
          <w:tcPr>
            <w:tcW w:w="6711" w:type="dxa"/>
          </w:tcPr>
          <w:p w14:paraId="11375D07" w14:textId="5A2980FB"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Planning Practice Guidance</w:t>
            </w:r>
          </w:p>
        </w:tc>
      </w:tr>
      <w:tr w:rsidR="00AC602B" w:rsidRPr="00300B97" w14:paraId="117485E7" w14:textId="77777777" w:rsidTr="00D8401F">
        <w:tc>
          <w:tcPr>
            <w:tcW w:w="1134" w:type="dxa"/>
          </w:tcPr>
          <w:p w14:paraId="41768D70" w14:textId="7E2FEE4A" w:rsidR="00AC602B" w:rsidRPr="00300B97" w:rsidRDefault="00AC602B" w:rsidP="00AC602B">
            <w:pPr>
              <w:spacing w:before="0" w:after="0"/>
              <w:rPr>
                <w:rFonts w:ascii="Arial" w:eastAsia="Times New Roman" w:hAnsi="Arial" w:cs="Arial"/>
                <w:b/>
                <w:lang w:eastAsia="en-GB"/>
              </w:rPr>
            </w:pPr>
            <w:r w:rsidRPr="00300B97">
              <w:rPr>
                <w:rFonts w:ascii="Arial" w:eastAsia="Times New Roman" w:hAnsi="Arial" w:cs="Arial"/>
                <w:b/>
                <w:lang w:eastAsia="en-GB"/>
              </w:rPr>
              <w:t>ExA</w:t>
            </w:r>
          </w:p>
        </w:tc>
        <w:tc>
          <w:tcPr>
            <w:tcW w:w="4637" w:type="dxa"/>
          </w:tcPr>
          <w:p w14:paraId="7C1CC725" w14:textId="0FD583B9" w:rsidR="00AC602B" w:rsidRPr="00300B97" w:rsidRDefault="00AC602B" w:rsidP="00AC602B">
            <w:pPr>
              <w:spacing w:before="0" w:after="0"/>
              <w:rPr>
                <w:rFonts w:ascii="Arial" w:eastAsia="Times New Roman" w:hAnsi="Arial" w:cs="Arial"/>
                <w:lang w:eastAsia="en-GB"/>
              </w:rPr>
            </w:pPr>
            <w:r w:rsidRPr="00300B97">
              <w:rPr>
                <w:rFonts w:ascii="Arial" w:eastAsia="Times New Roman" w:hAnsi="Arial" w:cs="Arial"/>
                <w:lang w:eastAsia="en-GB"/>
              </w:rPr>
              <w:t>Examining authority</w:t>
            </w:r>
          </w:p>
        </w:tc>
        <w:tc>
          <w:tcPr>
            <w:tcW w:w="1476" w:type="dxa"/>
          </w:tcPr>
          <w:p w14:paraId="7710BEE3" w14:textId="14891589" w:rsidR="00AC602B" w:rsidRPr="00300B97" w:rsidRDefault="00C61D8A" w:rsidP="00AC602B">
            <w:pPr>
              <w:spacing w:before="0" w:after="0"/>
              <w:rPr>
                <w:rFonts w:ascii="Arial" w:eastAsia="Times New Roman" w:hAnsi="Arial" w:cs="Arial"/>
                <w:b/>
                <w:lang w:eastAsia="en-GB"/>
              </w:rPr>
            </w:pPr>
            <w:r w:rsidRPr="00300B97">
              <w:rPr>
                <w:rFonts w:ascii="Arial" w:eastAsia="Times New Roman" w:hAnsi="Arial" w:cs="Arial"/>
                <w:b/>
                <w:lang w:eastAsia="en-GB"/>
              </w:rPr>
              <w:t>SoCG</w:t>
            </w:r>
          </w:p>
        </w:tc>
        <w:tc>
          <w:tcPr>
            <w:tcW w:w="6711" w:type="dxa"/>
          </w:tcPr>
          <w:p w14:paraId="587812C2" w14:textId="7A616035" w:rsidR="00AC602B" w:rsidRPr="00300B97" w:rsidRDefault="00C61D8A" w:rsidP="00AC602B">
            <w:pPr>
              <w:spacing w:before="0" w:after="0"/>
              <w:rPr>
                <w:rFonts w:ascii="Arial" w:eastAsia="Times New Roman" w:hAnsi="Arial" w:cs="Arial"/>
                <w:lang w:eastAsia="en-GB"/>
              </w:rPr>
            </w:pPr>
            <w:r w:rsidRPr="00300B97">
              <w:rPr>
                <w:rFonts w:ascii="Arial" w:eastAsia="Times New Roman" w:hAnsi="Arial" w:cs="Arial"/>
                <w:lang w:eastAsia="en-GB"/>
              </w:rPr>
              <w:t>Statement of Common Ground</w:t>
            </w:r>
          </w:p>
        </w:tc>
      </w:tr>
      <w:tr w:rsidR="00C61D8A" w:rsidRPr="00300B97" w14:paraId="5C355688" w14:textId="77777777" w:rsidTr="00D8401F">
        <w:tc>
          <w:tcPr>
            <w:tcW w:w="1134" w:type="dxa"/>
          </w:tcPr>
          <w:p w14:paraId="3E41B833" w14:textId="0D2B06FC" w:rsidR="00C61D8A" w:rsidRPr="00300B97" w:rsidRDefault="00C61D8A" w:rsidP="00C61D8A">
            <w:pPr>
              <w:spacing w:before="0" w:after="0"/>
              <w:rPr>
                <w:rFonts w:ascii="Arial" w:eastAsia="Times New Roman" w:hAnsi="Arial" w:cs="Arial"/>
                <w:b/>
                <w:lang w:eastAsia="en-GB"/>
              </w:rPr>
            </w:pPr>
            <w:r w:rsidRPr="00300B97">
              <w:rPr>
                <w:rFonts w:ascii="Arial" w:eastAsia="Times New Roman" w:hAnsi="Arial" w:cs="Arial"/>
                <w:b/>
                <w:lang w:eastAsia="en-GB"/>
              </w:rPr>
              <w:t>GEH</w:t>
            </w:r>
          </w:p>
        </w:tc>
        <w:tc>
          <w:tcPr>
            <w:tcW w:w="4637" w:type="dxa"/>
          </w:tcPr>
          <w:p w14:paraId="7A4448BA" w14:textId="46B79C8E" w:rsidR="00C61D8A" w:rsidRPr="00300B97" w:rsidRDefault="00C61D8A" w:rsidP="00C61D8A">
            <w:pPr>
              <w:spacing w:before="0" w:after="0"/>
              <w:rPr>
                <w:rFonts w:ascii="Arial" w:eastAsia="Times New Roman" w:hAnsi="Arial" w:cs="Arial"/>
                <w:lang w:eastAsia="en-GB"/>
              </w:rPr>
            </w:pPr>
            <w:r w:rsidRPr="00300B97">
              <w:rPr>
                <w:rFonts w:ascii="Arial" w:eastAsia="Times New Roman" w:hAnsi="Arial" w:cs="Arial"/>
                <w:lang w:eastAsia="en-GB"/>
              </w:rPr>
              <w:t>A formula used in traffic engineering</w:t>
            </w:r>
          </w:p>
        </w:tc>
        <w:tc>
          <w:tcPr>
            <w:tcW w:w="1476" w:type="dxa"/>
          </w:tcPr>
          <w:p w14:paraId="28A6FD5C" w14:textId="59F6ACAE" w:rsidR="00C61D8A" w:rsidRPr="00300B97" w:rsidRDefault="00C61D8A" w:rsidP="00C61D8A">
            <w:pPr>
              <w:spacing w:before="0" w:after="0"/>
              <w:rPr>
                <w:rFonts w:ascii="Arial" w:eastAsia="Times New Roman" w:hAnsi="Arial" w:cs="Arial"/>
                <w:b/>
                <w:lang w:eastAsia="en-GB"/>
              </w:rPr>
            </w:pPr>
            <w:proofErr w:type="spellStart"/>
            <w:r w:rsidRPr="00300B97">
              <w:rPr>
                <w:rFonts w:ascii="Arial" w:eastAsia="Times New Roman" w:hAnsi="Arial" w:cs="Arial"/>
                <w:b/>
                <w:lang w:eastAsia="en-GB"/>
              </w:rPr>
              <w:t>SoS</w:t>
            </w:r>
            <w:proofErr w:type="spellEnd"/>
          </w:p>
        </w:tc>
        <w:tc>
          <w:tcPr>
            <w:tcW w:w="6711" w:type="dxa"/>
          </w:tcPr>
          <w:p w14:paraId="29527A94" w14:textId="674B806D" w:rsidR="00C61D8A" w:rsidRPr="00300B97" w:rsidRDefault="00C61D8A" w:rsidP="00C61D8A">
            <w:pPr>
              <w:spacing w:before="0" w:after="0"/>
              <w:rPr>
                <w:rFonts w:ascii="Arial" w:eastAsia="Times New Roman" w:hAnsi="Arial" w:cs="Arial"/>
                <w:lang w:eastAsia="en-GB"/>
              </w:rPr>
            </w:pPr>
            <w:r w:rsidRPr="00300B97">
              <w:rPr>
                <w:rFonts w:ascii="Arial" w:eastAsia="Times New Roman" w:hAnsi="Arial" w:cs="Arial"/>
                <w:lang w:eastAsia="en-GB"/>
              </w:rPr>
              <w:t>Secretary of State</w:t>
            </w:r>
          </w:p>
        </w:tc>
      </w:tr>
      <w:tr w:rsidR="00C61D8A" w:rsidRPr="00300B97" w14:paraId="12870657" w14:textId="77777777" w:rsidTr="00D8401F">
        <w:tc>
          <w:tcPr>
            <w:tcW w:w="1134" w:type="dxa"/>
          </w:tcPr>
          <w:p w14:paraId="05458649" w14:textId="28A7AA53" w:rsidR="00C61D8A" w:rsidRPr="00300B97" w:rsidRDefault="00C61D8A" w:rsidP="00C61D8A">
            <w:pPr>
              <w:spacing w:before="0" w:after="0"/>
              <w:rPr>
                <w:rFonts w:ascii="Arial" w:eastAsia="Times New Roman" w:hAnsi="Arial" w:cs="Arial"/>
                <w:b/>
                <w:lang w:eastAsia="en-GB"/>
              </w:rPr>
            </w:pPr>
            <w:r w:rsidRPr="00300B97">
              <w:rPr>
                <w:rFonts w:ascii="Arial" w:eastAsia="Times New Roman" w:hAnsi="Arial" w:cs="Arial"/>
                <w:b/>
                <w:lang w:eastAsia="en-GB"/>
              </w:rPr>
              <w:t>HBCME</w:t>
            </w:r>
          </w:p>
        </w:tc>
        <w:tc>
          <w:tcPr>
            <w:tcW w:w="4637" w:type="dxa"/>
          </w:tcPr>
          <w:p w14:paraId="573D610E" w14:textId="0659273F" w:rsidR="00C61D8A" w:rsidRPr="00300B97" w:rsidRDefault="00C61D8A" w:rsidP="00C61D8A">
            <w:pPr>
              <w:spacing w:before="0" w:after="0"/>
              <w:rPr>
                <w:rFonts w:ascii="Arial" w:eastAsia="Times New Roman" w:hAnsi="Arial" w:cs="Arial"/>
                <w:lang w:eastAsia="en-GB"/>
              </w:rPr>
            </w:pPr>
            <w:r w:rsidRPr="00300B97">
              <w:rPr>
                <w:rFonts w:ascii="Arial" w:eastAsia="Times New Roman" w:hAnsi="Arial" w:cs="Arial"/>
                <w:lang w:eastAsia="en-GB"/>
              </w:rPr>
              <w:t>Historic Buildings and Monuments Commission for England (commonly known as Historic England)</w:t>
            </w:r>
          </w:p>
        </w:tc>
        <w:tc>
          <w:tcPr>
            <w:tcW w:w="1476" w:type="dxa"/>
          </w:tcPr>
          <w:p w14:paraId="68C13B50" w14:textId="568AC10B" w:rsidR="00C61D8A" w:rsidRPr="00300B97" w:rsidRDefault="00C61D8A" w:rsidP="00C61D8A">
            <w:pPr>
              <w:spacing w:before="0" w:after="0"/>
              <w:rPr>
                <w:rFonts w:ascii="Arial" w:eastAsia="Times New Roman" w:hAnsi="Arial" w:cs="Arial"/>
                <w:b/>
                <w:lang w:eastAsia="en-GB"/>
              </w:rPr>
            </w:pPr>
            <w:r w:rsidRPr="00300B97">
              <w:rPr>
                <w:rFonts w:ascii="Arial" w:eastAsia="Times New Roman" w:hAnsi="Arial" w:cs="Arial"/>
                <w:b/>
                <w:lang w:eastAsia="en-GB"/>
              </w:rPr>
              <w:t>TP</w:t>
            </w:r>
          </w:p>
        </w:tc>
        <w:tc>
          <w:tcPr>
            <w:tcW w:w="6711" w:type="dxa"/>
          </w:tcPr>
          <w:p w14:paraId="580D551C" w14:textId="241CAEF8" w:rsidR="00C61D8A" w:rsidRPr="00300B97" w:rsidRDefault="00C61D8A" w:rsidP="00C61D8A">
            <w:pPr>
              <w:spacing w:before="0" w:after="0"/>
              <w:rPr>
                <w:rFonts w:ascii="Arial" w:eastAsia="Times New Roman" w:hAnsi="Arial" w:cs="Arial"/>
                <w:lang w:eastAsia="en-GB"/>
              </w:rPr>
            </w:pPr>
            <w:r w:rsidRPr="00300B97">
              <w:rPr>
                <w:rFonts w:ascii="Arial" w:eastAsia="Times New Roman" w:hAnsi="Arial" w:cs="Arial"/>
                <w:lang w:eastAsia="en-GB"/>
              </w:rPr>
              <w:t>Temporary Possession</w:t>
            </w:r>
          </w:p>
        </w:tc>
      </w:tr>
      <w:tr w:rsidR="00C61D8A" w:rsidRPr="00300B97" w14:paraId="72D874AF" w14:textId="77777777" w:rsidTr="00D8401F">
        <w:tc>
          <w:tcPr>
            <w:tcW w:w="1134" w:type="dxa"/>
          </w:tcPr>
          <w:p w14:paraId="294B8351" w14:textId="5ABA06B1" w:rsidR="00C61D8A" w:rsidRPr="00300B97" w:rsidRDefault="00C61D8A" w:rsidP="00C61D8A">
            <w:pPr>
              <w:spacing w:before="0" w:after="0"/>
              <w:rPr>
                <w:rFonts w:ascii="Arial" w:eastAsia="Times New Roman" w:hAnsi="Arial" w:cs="Arial"/>
                <w:b/>
                <w:lang w:eastAsia="en-GB"/>
              </w:rPr>
            </w:pPr>
            <w:r w:rsidRPr="00300B97">
              <w:rPr>
                <w:rFonts w:ascii="Arial" w:eastAsia="Times New Roman" w:hAnsi="Arial" w:cs="Arial"/>
                <w:b/>
                <w:lang w:eastAsia="en-GB"/>
              </w:rPr>
              <w:t>NMU</w:t>
            </w:r>
          </w:p>
        </w:tc>
        <w:tc>
          <w:tcPr>
            <w:tcW w:w="4637" w:type="dxa"/>
          </w:tcPr>
          <w:p w14:paraId="50F97817" w14:textId="74A3A824" w:rsidR="00C61D8A" w:rsidRPr="00300B97" w:rsidRDefault="00C61D8A" w:rsidP="00C61D8A">
            <w:pPr>
              <w:spacing w:before="0" w:after="0"/>
              <w:rPr>
                <w:rFonts w:ascii="Arial" w:eastAsia="Times New Roman" w:hAnsi="Arial" w:cs="Arial"/>
                <w:lang w:eastAsia="en-GB"/>
              </w:rPr>
            </w:pPr>
            <w:r w:rsidRPr="00300B97">
              <w:rPr>
                <w:rFonts w:ascii="Arial" w:eastAsia="Times New Roman" w:hAnsi="Arial" w:cs="Arial"/>
                <w:lang w:eastAsia="en-GB"/>
              </w:rPr>
              <w:t>Non-Motorised User</w:t>
            </w:r>
          </w:p>
        </w:tc>
        <w:tc>
          <w:tcPr>
            <w:tcW w:w="1476" w:type="dxa"/>
          </w:tcPr>
          <w:p w14:paraId="0D80F701" w14:textId="7B71301D" w:rsidR="00C61D8A" w:rsidRPr="00300B97" w:rsidRDefault="00C61D8A" w:rsidP="00C61D8A">
            <w:pPr>
              <w:spacing w:before="0" w:after="0"/>
              <w:rPr>
                <w:rFonts w:ascii="Arial" w:eastAsia="Times New Roman" w:hAnsi="Arial" w:cs="Arial"/>
                <w:b/>
                <w:lang w:eastAsia="en-GB"/>
              </w:rPr>
            </w:pPr>
            <w:r w:rsidRPr="00300B97">
              <w:rPr>
                <w:rFonts w:ascii="Arial" w:eastAsia="Times New Roman" w:hAnsi="Arial" w:cs="Arial"/>
                <w:b/>
                <w:lang w:eastAsia="en-GB"/>
              </w:rPr>
              <w:t>VISSIM</w:t>
            </w:r>
          </w:p>
        </w:tc>
        <w:tc>
          <w:tcPr>
            <w:tcW w:w="6711" w:type="dxa"/>
          </w:tcPr>
          <w:p w14:paraId="2790A360" w14:textId="404FC870" w:rsidR="00C61D8A" w:rsidRPr="00300B97" w:rsidRDefault="00C61D8A" w:rsidP="00C61D8A">
            <w:pPr>
              <w:spacing w:before="0" w:after="0"/>
              <w:rPr>
                <w:rFonts w:ascii="Arial" w:eastAsia="Times New Roman" w:hAnsi="Arial" w:cs="Arial"/>
                <w:lang w:eastAsia="en-GB"/>
              </w:rPr>
            </w:pPr>
            <w:r w:rsidRPr="00300B97">
              <w:rPr>
                <w:rFonts w:ascii="Arial" w:eastAsia="Times New Roman" w:hAnsi="Arial" w:cs="Arial"/>
                <w:lang w:eastAsia="en-GB"/>
              </w:rPr>
              <w:t xml:space="preserve">A proprietary micro-simulation modelling software </w:t>
            </w:r>
          </w:p>
        </w:tc>
      </w:tr>
    </w:tbl>
    <w:p w14:paraId="44C716B9" w14:textId="77777777" w:rsidR="004C6447" w:rsidRPr="00300B97" w:rsidRDefault="004C6447" w:rsidP="004C6447">
      <w:pPr>
        <w:spacing w:before="0" w:after="0"/>
        <w:rPr>
          <w:rFonts w:ascii="Arial" w:eastAsia="Times New Roman" w:hAnsi="Arial" w:cs="Arial"/>
          <w:sz w:val="24"/>
          <w:szCs w:val="24"/>
          <w:lang w:eastAsia="en-GB"/>
        </w:rPr>
      </w:pPr>
    </w:p>
    <w:p w14:paraId="24BF94A5" w14:textId="77777777" w:rsidR="004C6447" w:rsidRPr="00300B97" w:rsidRDefault="004C6447" w:rsidP="004C6447">
      <w:pPr>
        <w:spacing w:before="0" w:after="240"/>
        <w:rPr>
          <w:rFonts w:ascii="Arial" w:eastAsia="Times New Roman" w:hAnsi="Arial" w:cs="Arial"/>
          <w:b/>
          <w:lang w:eastAsia="en-GB"/>
        </w:rPr>
      </w:pPr>
      <w:r w:rsidRPr="00300B97">
        <w:rPr>
          <w:rFonts w:ascii="Arial" w:eastAsia="Times New Roman" w:hAnsi="Arial" w:cs="Arial"/>
          <w:b/>
          <w:lang w:eastAsia="en-GB"/>
        </w:rPr>
        <w:t>The Examination Library</w:t>
      </w:r>
    </w:p>
    <w:p w14:paraId="64B644D2" w14:textId="4CD8C427"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 xml:space="preserve">References in these questions set out in square brackets (eg [APP-010]) are to documents catalogued in the Examination Library. The Examination Library can be obtained at this </w:t>
      </w:r>
      <w:hyperlink r:id="rId12" w:history="1">
        <w:r w:rsidRPr="00300B97">
          <w:rPr>
            <w:rFonts w:ascii="Arial" w:eastAsia="Times New Roman" w:hAnsi="Arial" w:cs="Arial"/>
            <w:color w:val="0000FF"/>
            <w:u w:val="single"/>
            <w:lang w:eastAsia="en-GB"/>
          </w:rPr>
          <w:t>link</w:t>
        </w:r>
      </w:hyperlink>
      <w:r w:rsidRPr="00300B97">
        <w:rPr>
          <w:rFonts w:ascii="Arial" w:eastAsia="Times New Roman" w:hAnsi="Arial" w:cs="Arial"/>
          <w:lang w:eastAsia="en-GB"/>
        </w:rPr>
        <w:t>.</w:t>
      </w:r>
    </w:p>
    <w:p w14:paraId="3F7B260C" w14:textId="77777777"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It will be updated as the examination progresses.</w:t>
      </w:r>
    </w:p>
    <w:p w14:paraId="726F7A91" w14:textId="77777777" w:rsidR="004C6447" w:rsidRPr="00300B97" w:rsidRDefault="004C6447" w:rsidP="004C6447">
      <w:pPr>
        <w:spacing w:before="0" w:after="0"/>
        <w:rPr>
          <w:rFonts w:ascii="Arial" w:eastAsia="Times New Roman" w:hAnsi="Arial" w:cs="Arial"/>
          <w:b/>
          <w:lang w:eastAsia="en-GB"/>
        </w:rPr>
      </w:pPr>
    </w:p>
    <w:p w14:paraId="468E98B3" w14:textId="77777777" w:rsidR="004C6447" w:rsidRPr="00300B97" w:rsidRDefault="004C6447" w:rsidP="004C6447">
      <w:pPr>
        <w:spacing w:before="0" w:after="240"/>
        <w:rPr>
          <w:rFonts w:ascii="Arial" w:eastAsia="Times New Roman" w:hAnsi="Arial" w:cs="Arial"/>
          <w:b/>
          <w:lang w:eastAsia="en-GB"/>
        </w:rPr>
      </w:pPr>
      <w:r w:rsidRPr="00300B97">
        <w:rPr>
          <w:rFonts w:ascii="Arial" w:eastAsia="Times New Roman" w:hAnsi="Arial" w:cs="Arial"/>
          <w:b/>
          <w:lang w:eastAsia="en-GB"/>
        </w:rPr>
        <w:t>Citation of Questions</w:t>
      </w:r>
    </w:p>
    <w:p w14:paraId="6784D9B3" w14:textId="77777777"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Questions in this table should be cited as follows:</w:t>
      </w:r>
    </w:p>
    <w:p w14:paraId="6EA09D96" w14:textId="77777777" w:rsidR="004C6447" w:rsidRPr="00300B97" w:rsidRDefault="004C6447" w:rsidP="004C6447">
      <w:pPr>
        <w:spacing w:before="0" w:after="240"/>
        <w:rPr>
          <w:rFonts w:ascii="Arial" w:eastAsia="Times New Roman" w:hAnsi="Arial" w:cs="Arial"/>
          <w:lang w:eastAsia="en-GB"/>
        </w:rPr>
      </w:pPr>
      <w:r w:rsidRPr="00300B97">
        <w:rPr>
          <w:rFonts w:ascii="Arial" w:eastAsia="Times New Roman" w:hAnsi="Arial" w:cs="Arial"/>
          <w:lang w:eastAsia="en-GB"/>
        </w:rPr>
        <w:t xml:space="preserve">Question reference: issue reference: question number, eg ExQ3.1.1 – refers to question 1 in this table. </w:t>
      </w:r>
    </w:p>
    <w:p w14:paraId="22CA8379" w14:textId="77777777" w:rsidR="004C6447" w:rsidRPr="00300B97" w:rsidRDefault="004C6447" w:rsidP="004C6447">
      <w:pPr>
        <w:spacing w:before="0" w:after="0"/>
        <w:rPr>
          <w:rFonts w:ascii="Arial" w:eastAsia="Times New Roman" w:hAnsi="Arial" w:cs="Arial"/>
          <w:b/>
          <w:lang w:eastAsia="en-GB"/>
        </w:rPr>
        <w:sectPr w:rsidR="004C6447" w:rsidRPr="00300B97">
          <w:headerReference w:type="default" r:id="rId13"/>
          <w:footerReference w:type="default" r:id="rId14"/>
          <w:pgSz w:w="16838" w:h="11906" w:orient="landscape"/>
          <w:pgMar w:top="1555" w:right="1440" w:bottom="1797" w:left="1440" w:header="709" w:footer="709" w:gutter="0"/>
          <w:cols w:space="720"/>
        </w:sectPr>
      </w:pPr>
    </w:p>
    <w:p w14:paraId="4E2275B9" w14:textId="77777777" w:rsidR="004C6447" w:rsidRPr="00300B97" w:rsidRDefault="004C6447" w:rsidP="004C6447">
      <w:pPr>
        <w:spacing w:before="0" w:after="0"/>
        <w:rPr>
          <w:rFonts w:ascii="Arial" w:eastAsia="Times New Roman" w:hAnsi="Arial" w:cs="Arial"/>
          <w:b/>
          <w:lang w:eastAsia="en-G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9639"/>
      </w:tblGrid>
      <w:tr w:rsidR="004C6447" w:rsidRPr="00300B97" w14:paraId="2757D014" w14:textId="77777777" w:rsidTr="004C6447">
        <w:trPr>
          <w:tblHeader/>
        </w:trPr>
        <w:tc>
          <w:tcPr>
            <w:tcW w:w="18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B0B1FF6" w14:textId="77777777" w:rsidR="004C6447" w:rsidRPr="00300B97" w:rsidRDefault="004C6447" w:rsidP="004C6447">
            <w:pPr>
              <w:spacing w:before="0" w:after="0"/>
              <w:rPr>
                <w:rFonts w:ascii="Arial" w:eastAsia="Times New Roman" w:hAnsi="Arial" w:cs="Arial"/>
                <w:b/>
                <w:color w:val="FFFFFF"/>
                <w:sz w:val="28"/>
                <w:szCs w:val="28"/>
                <w:lang w:eastAsia="en-GB"/>
              </w:rPr>
            </w:pPr>
            <w:r w:rsidRPr="00300B97">
              <w:rPr>
                <w:rFonts w:ascii="Arial" w:eastAsia="Times New Roman" w:hAnsi="Arial" w:cs="Arial"/>
                <w:b/>
                <w:color w:val="FFFFFF"/>
                <w:sz w:val="28"/>
                <w:szCs w:val="28"/>
                <w:lang w:eastAsia="en-GB"/>
              </w:rPr>
              <w:t>ExQ3</w:t>
            </w:r>
          </w:p>
        </w:tc>
        <w:tc>
          <w:tcPr>
            <w:tcW w:w="2835" w:type="dxa"/>
            <w:tcBorders>
              <w:top w:val="single" w:sz="4" w:space="0" w:color="auto"/>
              <w:left w:val="single" w:sz="4" w:space="0" w:color="auto"/>
              <w:bottom w:val="single" w:sz="4" w:space="0" w:color="auto"/>
              <w:right w:val="single" w:sz="4" w:space="0" w:color="auto"/>
            </w:tcBorders>
            <w:shd w:val="clear" w:color="auto" w:fill="000000"/>
            <w:hideMark/>
          </w:tcPr>
          <w:p w14:paraId="14D5ED79" w14:textId="77777777" w:rsidR="004C6447" w:rsidRPr="00300B97" w:rsidRDefault="004C6447" w:rsidP="004C6447">
            <w:pPr>
              <w:spacing w:before="180"/>
              <w:rPr>
                <w:rFonts w:ascii="Arial" w:eastAsia="Times New Roman" w:hAnsi="Arial" w:cs="Arial"/>
                <w:b/>
                <w:color w:val="FFFFFF"/>
                <w:sz w:val="28"/>
                <w:szCs w:val="28"/>
                <w:lang w:eastAsia="en-GB"/>
              </w:rPr>
            </w:pPr>
            <w:r w:rsidRPr="00300B97">
              <w:rPr>
                <w:rFonts w:ascii="Arial" w:eastAsia="Times New Roman" w:hAnsi="Arial" w:cs="Arial"/>
                <w:b/>
                <w:color w:val="FFFFFF"/>
                <w:sz w:val="28"/>
                <w:szCs w:val="28"/>
                <w:lang w:eastAsia="en-GB"/>
              </w:rPr>
              <w:t>Question to:</w:t>
            </w:r>
          </w:p>
        </w:tc>
        <w:tc>
          <w:tcPr>
            <w:tcW w:w="9639" w:type="dxa"/>
            <w:tcBorders>
              <w:top w:val="single" w:sz="4" w:space="0" w:color="auto"/>
              <w:left w:val="single" w:sz="4" w:space="0" w:color="auto"/>
              <w:bottom w:val="single" w:sz="4" w:space="0" w:color="auto"/>
              <w:right w:val="single" w:sz="4" w:space="0" w:color="auto"/>
            </w:tcBorders>
            <w:shd w:val="clear" w:color="auto" w:fill="000000"/>
            <w:hideMark/>
          </w:tcPr>
          <w:p w14:paraId="6E03EAE9" w14:textId="77777777" w:rsidR="004C6447" w:rsidRPr="00300B97" w:rsidRDefault="004C6447" w:rsidP="004C6447">
            <w:pPr>
              <w:spacing w:before="180"/>
              <w:rPr>
                <w:rFonts w:ascii="Arial" w:eastAsia="Times New Roman" w:hAnsi="Arial" w:cs="Arial"/>
                <w:b/>
                <w:color w:val="FFFFFF"/>
                <w:sz w:val="28"/>
                <w:szCs w:val="28"/>
                <w:lang w:eastAsia="en-GB"/>
              </w:rPr>
            </w:pPr>
            <w:r w:rsidRPr="00300B97">
              <w:rPr>
                <w:rFonts w:ascii="Arial" w:eastAsia="Times New Roman" w:hAnsi="Arial" w:cs="Arial"/>
                <w:b/>
                <w:color w:val="FFFFFF"/>
                <w:sz w:val="28"/>
                <w:szCs w:val="28"/>
                <w:lang w:eastAsia="en-GB"/>
              </w:rPr>
              <w:t>Question:</w:t>
            </w:r>
          </w:p>
        </w:tc>
      </w:tr>
      <w:tr w:rsidR="004C6447" w:rsidRPr="00300B97" w14:paraId="2A978005"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6443D" w14:textId="77777777" w:rsidR="004C6447" w:rsidRPr="00300B97" w:rsidRDefault="004C6447" w:rsidP="004C6447">
            <w:pPr>
              <w:spacing w:before="0" w:after="0"/>
              <w:jc w:val="both"/>
              <w:rPr>
                <w:rFonts w:ascii="Arial" w:eastAsia="Times New Roman" w:hAnsi="Arial" w:cs="Arial"/>
                <w:sz w:val="28"/>
                <w:szCs w:val="28"/>
                <w:lang w:eastAsia="en-GB"/>
              </w:rPr>
            </w:pPr>
            <w:r w:rsidRPr="00300B97">
              <w:rPr>
                <w:rFonts w:ascii="Arial" w:eastAsia="Times New Roman" w:hAnsi="Arial" w:cs="Arial"/>
                <w:sz w:val="28"/>
                <w:szCs w:val="28"/>
                <w:lang w:eastAsia="en-GB"/>
              </w:rPr>
              <w:t>3.0</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4C21C" w14:textId="64022323" w:rsidR="004C6447" w:rsidRPr="00300B97" w:rsidRDefault="00F92BC2" w:rsidP="004C6447">
            <w:pPr>
              <w:spacing w:before="0" w:after="0"/>
              <w:rPr>
                <w:rFonts w:ascii="Arial" w:eastAsia="Times New Roman" w:hAnsi="Arial" w:cs="Arial"/>
                <w:b/>
                <w:sz w:val="28"/>
                <w:szCs w:val="28"/>
                <w:lang w:eastAsia="en-GB"/>
              </w:rPr>
            </w:pPr>
            <w:r w:rsidRPr="00300B97">
              <w:rPr>
                <w:rFonts w:ascii="Arial" w:eastAsia="Times New Roman" w:hAnsi="Arial" w:cs="Arial"/>
                <w:b/>
                <w:sz w:val="28"/>
                <w:szCs w:val="28"/>
                <w:lang w:eastAsia="en-GB"/>
              </w:rPr>
              <w:t>General questions</w:t>
            </w:r>
          </w:p>
        </w:tc>
      </w:tr>
      <w:tr w:rsidR="00C61D8A" w:rsidRPr="00300B97" w14:paraId="4B225144" w14:textId="77777777" w:rsidTr="00F50C8D">
        <w:tc>
          <w:tcPr>
            <w:tcW w:w="1809" w:type="dxa"/>
            <w:tcBorders>
              <w:top w:val="single" w:sz="4" w:space="0" w:color="auto"/>
              <w:left w:val="single" w:sz="4" w:space="0" w:color="auto"/>
              <w:bottom w:val="single" w:sz="4" w:space="0" w:color="auto"/>
              <w:right w:val="single" w:sz="4" w:space="0" w:color="auto"/>
            </w:tcBorders>
            <w:hideMark/>
          </w:tcPr>
          <w:p w14:paraId="1116FD1C" w14:textId="77777777" w:rsidR="00C61D8A" w:rsidRPr="00300B97" w:rsidRDefault="00C61D8A" w:rsidP="00C61D8A">
            <w:pPr>
              <w:spacing w:before="0" w:after="0"/>
              <w:jc w:val="both"/>
              <w:rPr>
                <w:rFonts w:ascii="Arial" w:eastAsia="Times New Roman" w:hAnsi="Arial" w:cs="Arial"/>
                <w:lang w:eastAsia="en-GB"/>
              </w:rPr>
            </w:pPr>
            <w:r w:rsidRPr="00300B97">
              <w:rPr>
                <w:rFonts w:ascii="Arial" w:eastAsia="Times New Roman" w:hAnsi="Arial" w:cs="Arial"/>
                <w:sz w:val="24"/>
                <w:szCs w:val="24"/>
                <w:lang w:eastAsia="en-GB"/>
              </w:rPr>
              <w:t>3.0.1</w:t>
            </w:r>
          </w:p>
        </w:tc>
        <w:tc>
          <w:tcPr>
            <w:tcW w:w="2835" w:type="dxa"/>
            <w:tcBorders>
              <w:top w:val="single" w:sz="4" w:space="0" w:color="auto"/>
              <w:left w:val="single" w:sz="4" w:space="0" w:color="auto"/>
              <w:bottom w:val="single" w:sz="4" w:space="0" w:color="auto"/>
              <w:right w:val="single" w:sz="4" w:space="0" w:color="auto"/>
            </w:tcBorders>
          </w:tcPr>
          <w:p w14:paraId="39F8E4FA" w14:textId="3D5D3908"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3C61A9C5" w14:textId="77777777" w:rsidR="00C61D8A" w:rsidRPr="00300B97" w:rsidRDefault="00C61D8A" w:rsidP="00C61D8A">
            <w:pPr>
              <w:keepNext/>
              <w:spacing w:before="0" w:after="0"/>
              <w:ind w:left="28"/>
              <w:rPr>
                <w:rFonts w:ascii="Arial" w:eastAsia="Calibri" w:hAnsi="Arial" w:cs="Arial"/>
                <w:bCs/>
                <w:sz w:val="24"/>
                <w:szCs w:val="24"/>
              </w:rPr>
            </w:pPr>
            <w:r w:rsidRPr="00300B97">
              <w:rPr>
                <w:rFonts w:ascii="Arial" w:eastAsia="Times New Roman" w:hAnsi="Arial" w:cs="Arial"/>
                <w:b/>
                <w:bCs/>
                <w:sz w:val="24"/>
                <w:szCs w:val="24"/>
                <w:lang w:eastAsia="en-GB"/>
              </w:rPr>
              <w:t>Plans</w:t>
            </w:r>
          </w:p>
          <w:p w14:paraId="54909EA0" w14:textId="09BAB772" w:rsidR="00C61D8A" w:rsidRPr="00300B97" w:rsidRDefault="00C61D8A" w:rsidP="00C61D8A">
            <w:pPr>
              <w:spacing w:before="0" w:after="0"/>
              <w:ind w:left="29"/>
              <w:rPr>
                <w:rFonts w:ascii="Arial" w:eastAsia="Calibri" w:hAnsi="Arial" w:cs="Arial"/>
                <w:bCs/>
                <w:sz w:val="24"/>
                <w:szCs w:val="24"/>
              </w:rPr>
            </w:pPr>
            <w:r w:rsidRPr="00300B97">
              <w:rPr>
                <w:rFonts w:ascii="Arial" w:eastAsia="Calibri" w:hAnsi="Arial" w:cs="Arial"/>
                <w:bCs/>
                <w:sz w:val="24"/>
                <w:szCs w:val="24"/>
              </w:rPr>
              <w:t xml:space="preserve">Could </w:t>
            </w:r>
            <w:r w:rsidRPr="00300B97">
              <w:rPr>
                <w:rFonts w:ascii="Arial" w:eastAsia="Times New Roman" w:hAnsi="Arial" w:cs="Arial"/>
                <w:bCs/>
                <w:sz w:val="24"/>
                <w:szCs w:val="24"/>
                <w:lang w:eastAsia="en-GB"/>
              </w:rPr>
              <w:t>the</w:t>
            </w:r>
            <w:r w:rsidRPr="00300B97">
              <w:rPr>
                <w:rFonts w:ascii="Arial" w:eastAsia="Calibri" w:hAnsi="Arial" w:cs="Arial"/>
                <w:bCs/>
                <w:sz w:val="24"/>
                <w:szCs w:val="24"/>
              </w:rPr>
              <w:t xml:space="preserve"> Applicant please provide two plans. A plan showing the extent of the Application site, and a simple, schematic drawing of the proposals, both using an Ordnance Survey map as a base. These should be provided, each, on a single sheet, utilising either the 1:25 000 or 1:50 000 scale maps. The imperative is that they are on a single sheet.</w:t>
            </w:r>
          </w:p>
        </w:tc>
      </w:tr>
      <w:tr w:rsidR="00C61D8A" w:rsidRPr="00300B97" w14:paraId="71417E0B"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82547" w14:textId="2AEE2F85"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3.1</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AF83A" w14:textId="3B033079" w:rsidR="00C61D8A" w:rsidRPr="00300B97" w:rsidRDefault="00C61D8A" w:rsidP="00C61D8A">
            <w:pPr>
              <w:spacing w:before="0" w:after="0"/>
              <w:rPr>
                <w:rFonts w:ascii="Arial" w:eastAsia="Times New Roman" w:hAnsi="Arial" w:cs="Arial"/>
                <w:b/>
                <w:sz w:val="24"/>
                <w:szCs w:val="24"/>
                <w:lang w:eastAsia="en-GB"/>
              </w:rPr>
            </w:pPr>
            <w:r w:rsidRPr="00300B97">
              <w:rPr>
                <w:rFonts w:ascii="Arial" w:eastAsia="Times New Roman" w:hAnsi="Arial" w:cs="Arial"/>
                <w:b/>
                <w:sz w:val="28"/>
                <w:szCs w:val="28"/>
                <w:lang w:eastAsia="en-GB"/>
              </w:rPr>
              <w:t>Air quality and emissions</w:t>
            </w:r>
          </w:p>
        </w:tc>
      </w:tr>
      <w:tr w:rsidR="00C61D8A" w:rsidRPr="00300B97" w14:paraId="6352F3F2" w14:textId="77777777" w:rsidTr="00F50C8D">
        <w:tc>
          <w:tcPr>
            <w:tcW w:w="1809" w:type="dxa"/>
            <w:tcBorders>
              <w:top w:val="single" w:sz="4" w:space="0" w:color="auto"/>
              <w:left w:val="single" w:sz="4" w:space="0" w:color="auto"/>
              <w:bottom w:val="single" w:sz="4" w:space="0" w:color="auto"/>
              <w:right w:val="single" w:sz="4" w:space="0" w:color="auto"/>
            </w:tcBorders>
          </w:tcPr>
          <w:p w14:paraId="788D55F1" w14:textId="13D17475" w:rsidR="00C61D8A" w:rsidRPr="00300B97" w:rsidRDefault="00C61D8A" w:rsidP="00C61D8A">
            <w:pPr>
              <w:pStyle w:val="ListParagraph"/>
              <w:numPr>
                <w:ilvl w:val="0"/>
                <w:numId w:val="22"/>
              </w:numPr>
              <w:spacing w:before="0" w:after="0"/>
              <w:rPr>
                <w:rFonts w:ascii="Arial" w:eastAsia="Times New Roman" w:hAnsi="Arial" w:cs="Arial"/>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25C60FCC" w14:textId="77777777"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p w14:paraId="2F220E35" w14:textId="0F6709AE" w:rsidR="00C61D8A" w:rsidRPr="00300B97" w:rsidRDefault="00C61D8A" w:rsidP="00C61D8A">
            <w:pPr>
              <w:spacing w:before="0" w:after="0"/>
              <w:rPr>
                <w:rFonts w:ascii="Arial" w:eastAsia="Times New Roman" w:hAnsi="Arial" w:cs="Arial"/>
                <w:sz w:val="24"/>
                <w:szCs w:val="24"/>
                <w:lang w:eastAsia="en-GB"/>
              </w:rPr>
            </w:pPr>
          </w:p>
        </w:tc>
        <w:tc>
          <w:tcPr>
            <w:tcW w:w="9639" w:type="dxa"/>
            <w:tcBorders>
              <w:top w:val="single" w:sz="4" w:space="0" w:color="auto"/>
              <w:left w:val="single" w:sz="4" w:space="0" w:color="auto"/>
              <w:bottom w:val="single" w:sz="4" w:space="0" w:color="auto"/>
              <w:right w:val="single" w:sz="4" w:space="0" w:color="auto"/>
            </w:tcBorders>
          </w:tcPr>
          <w:p w14:paraId="46BA11B3"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Carbon emissions</w:t>
            </w:r>
          </w:p>
          <w:p w14:paraId="7A5B78D4" w14:textId="0B7591D9"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The Applicant is asked to clarify which of the various submissions in relation to carbon </w:t>
            </w:r>
            <w:r w:rsidRPr="00300B97">
              <w:rPr>
                <w:rFonts w:ascii="Arial" w:eastAsia="Times New Roman" w:hAnsi="Arial" w:cs="Arial"/>
                <w:bCs/>
                <w:sz w:val="24"/>
                <w:szCs w:val="24"/>
                <w:lang w:eastAsia="en-GB"/>
              </w:rPr>
              <w:t>emissions</w:t>
            </w:r>
            <w:r w:rsidRPr="00300B97">
              <w:rPr>
                <w:rFonts w:ascii="Arial" w:eastAsia="Times New Roman" w:hAnsi="Arial" w:cs="Arial"/>
                <w:sz w:val="24"/>
                <w:szCs w:val="24"/>
                <w:lang w:eastAsia="en-GB"/>
              </w:rPr>
              <w:t xml:space="preserve"> it is relying upon.</w:t>
            </w:r>
          </w:p>
          <w:p w14:paraId="423F10CF" w14:textId="77777777" w:rsidR="00C61D8A" w:rsidRPr="00300B97" w:rsidRDefault="00C61D8A" w:rsidP="00C61D8A">
            <w:pPr>
              <w:spacing w:before="0" w:after="0"/>
              <w:ind w:left="29"/>
              <w:rPr>
                <w:rFonts w:ascii="Arial" w:eastAsia="Times New Roman" w:hAnsi="Arial" w:cs="Arial"/>
                <w:sz w:val="24"/>
                <w:szCs w:val="24"/>
                <w:lang w:eastAsia="en-GB"/>
              </w:rPr>
            </w:pPr>
          </w:p>
          <w:p w14:paraId="0E62E3E7" w14:textId="2EDAB658"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At present there have been the following (main) submissions:</w:t>
            </w:r>
          </w:p>
          <w:p w14:paraId="3D21C52E" w14:textId="77777777" w:rsidR="00C61D8A" w:rsidRPr="00300B97" w:rsidRDefault="00C61D8A" w:rsidP="00C61D8A">
            <w:pPr>
              <w:pStyle w:val="ListParagraph"/>
              <w:numPr>
                <w:ilvl w:val="0"/>
                <w:numId w:val="18"/>
              </w:num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Environmental Statement – Chapter 14 – Climate [APP</w:t>
            </w:r>
            <w:r w:rsidRPr="00300B97">
              <w:rPr>
                <w:rFonts w:ascii="Arial" w:eastAsia="Times New Roman" w:hAnsi="Arial" w:cs="Arial"/>
                <w:sz w:val="24"/>
                <w:szCs w:val="24"/>
                <w:lang w:eastAsia="en-GB"/>
              </w:rPr>
              <w:noBreakHyphen/>
              <w:t>052]</w:t>
            </w:r>
          </w:p>
          <w:p w14:paraId="4F745D36" w14:textId="77777777" w:rsidR="00C61D8A" w:rsidRPr="00300B97" w:rsidRDefault="00C61D8A" w:rsidP="00C61D8A">
            <w:pPr>
              <w:pStyle w:val="ListParagraph"/>
              <w:numPr>
                <w:ilvl w:val="0"/>
                <w:numId w:val="18"/>
              </w:num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Case for the Scheme [AS</w:t>
            </w:r>
            <w:r w:rsidRPr="00300B97">
              <w:rPr>
                <w:rFonts w:ascii="Arial" w:eastAsia="Times New Roman" w:hAnsi="Arial" w:cs="Arial"/>
                <w:sz w:val="24"/>
                <w:szCs w:val="24"/>
                <w:lang w:eastAsia="en-GB"/>
              </w:rPr>
              <w:noBreakHyphen/>
              <w:t>022]</w:t>
            </w:r>
          </w:p>
          <w:p w14:paraId="0C637A64" w14:textId="77777777" w:rsidR="00C61D8A" w:rsidRPr="00300B97" w:rsidRDefault="00C61D8A" w:rsidP="00C61D8A">
            <w:pPr>
              <w:pStyle w:val="ListParagraph"/>
              <w:numPr>
                <w:ilvl w:val="0"/>
                <w:numId w:val="18"/>
              </w:num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Annex D of the Applicant’s Response to the Examining Authority’s First Written Questions (ExQ1) [REP2</w:t>
            </w:r>
            <w:r w:rsidRPr="00300B97">
              <w:rPr>
                <w:rFonts w:ascii="Arial" w:eastAsia="Times New Roman" w:hAnsi="Arial" w:cs="Arial"/>
                <w:sz w:val="24"/>
                <w:szCs w:val="24"/>
                <w:lang w:eastAsia="en-GB"/>
              </w:rPr>
              <w:noBreakHyphen/>
              <w:t>036]</w:t>
            </w:r>
          </w:p>
          <w:p w14:paraId="1E39E4A8" w14:textId="77777777" w:rsidR="00C61D8A" w:rsidRPr="00300B97" w:rsidRDefault="00C61D8A" w:rsidP="00C61D8A">
            <w:pPr>
              <w:spacing w:before="0" w:after="0"/>
              <w:ind w:left="29"/>
              <w:rPr>
                <w:rFonts w:ascii="Arial" w:eastAsia="Times New Roman" w:hAnsi="Arial" w:cs="Arial"/>
                <w:sz w:val="24"/>
                <w:szCs w:val="24"/>
                <w:lang w:eastAsia="en-GB"/>
              </w:rPr>
            </w:pPr>
          </w:p>
          <w:p w14:paraId="1E77570B" w14:textId="16AD1A71"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If the Applicant considers that this would be best dealt with by setting out its case on this matter in a single location that is acceptable.</w:t>
            </w:r>
          </w:p>
        </w:tc>
      </w:tr>
      <w:tr w:rsidR="00C61D8A" w:rsidRPr="00300B97" w14:paraId="0CA4BF4A" w14:textId="77777777" w:rsidTr="004C6447">
        <w:tc>
          <w:tcPr>
            <w:tcW w:w="1809" w:type="dxa"/>
            <w:tcBorders>
              <w:top w:val="single" w:sz="4" w:space="0" w:color="auto"/>
              <w:left w:val="single" w:sz="4" w:space="0" w:color="auto"/>
              <w:bottom w:val="single" w:sz="4" w:space="0" w:color="auto"/>
              <w:right w:val="single" w:sz="4" w:space="0" w:color="auto"/>
            </w:tcBorders>
          </w:tcPr>
          <w:p w14:paraId="0065788A" w14:textId="56B2BF4B"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3.1.2</w:t>
            </w:r>
          </w:p>
        </w:tc>
        <w:tc>
          <w:tcPr>
            <w:tcW w:w="2835" w:type="dxa"/>
            <w:tcBorders>
              <w:top w:val="single" w:sz="4" w:space="0" w:color="auto"/>
              <w:left w:val="single" w:sz="4" w:space="0" w:color="auto"/>
              <w:bottom w:val="single" w:sz="4" w:space="0" w:color="auto"/>
              <w:right w:val="single" w:sz="4" w:space="0" w:color="auto"/>
            </w:tcBorders>
          </w:tcPr>
          <w:p w14:paraId="0B84BE00" w14:textId="77777777"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p w14:paraId="4FCDEFA4" w14:textId="5C179E96"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Interested Parties</w:t>
            </w:r>
          </w:p>
        </w:tc>
        <w:tc>
          <w:tcPr>
            <w:tcW w:w="9639" w:type="dxa"/>
            <w:tcBorders>
              <w:top w:val="single" w:sz="4" w:space="0" w:color="auto"/>
              <w:left w:val="single" w:sz="4" w:space="0" w:color="auto"/>
              <w:bottom w:val="single" w:sz="4" w:space="0" w:color="auto"/>
              <w:right w:val="single" w:sz="4" w:space="0" w:color="auto"/>
            </w:tcBorders>
          </w:tcPr>
          <w:p w14:paraId="330156D2"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Carbon emissions</w:t>
            </w:r>
          </w:p>
          <w:p w14:paraId="1887FC63" w14:textId="77777777"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To ask the Applicant and Interested Parties to make any representations in respect of the Proposed Development that they consider appropriate and necessary in the light of the Secretary of State’s conclusions in relation to carbon emissions as set out in the </w:t>
            </w:r>
            <w:r w:rsidRPr="00300B97">
              <w:rPr>
                <w:rFonts w:ascii="Arial" w:eastAsia="Times New Roman" w:hAnsi="Arial" w:cs="Arial"/>
                <w:sz w:val="24"/>
                <w:szCs w:val="24"/>
                <w:lang w:eastAsia="en-GB"/>
              </w:rPr>
              <w:lastRenderedPageBreak/>
              <w:t xml:space="preserve">Decision Letters in respect of the </w:t>
            </w:r>
            <w:hyperlink r:id="rId15" w:history="1">
              <w:r w:rsidRPr="00300B97">
                <w:rPr>
                  <w:rStyle w:val="Hyperlink"/>
                  <w:rFonts w:ascii="Arial" w:eastAsia="Times New Roman" w:hAnsi="Arial" w:cs="Arial"/>
                  <w:sz w:val="24"/>
                  <w:szCs w:val="24"/>
                  <w:lang w:eastAsia="en-GB"/>
                </w:rPr>
                <w:t>M54/M6 Link Project</w:t>
              </w:r>
            </w:hyperlink>
            <w:r w:rsidRPr="00300B97">
              <w:rPr>
                <w:rFonts w:ascii="Arial" w:eastAsia="Times New Roman" w:hAnsi="Arial" w:cs="Arial"/>
                <w:sz w:val="24"/>
                <w:szCs w:val="24"/>
                <w:lang w:eastAsia="en-GB"/>
              </w:rPr>
              <w:t xml:space="preserve">, </w:t>
            </w:r>
            <w:hyperlink r:id="rId16" w:history="1">
              <w:r w:rsidRPr="00300B97">
                <w:rPr>
                  <w:rStyle w:val="Hyperlink"/>
                  <w:rFonts w:ascii="Arial" w:eastAsia="Times New Roman" w:hAnsi="Arial" w:cs="Arial"/>
                  <w:sz w:val="24"/>
                  <w:szCs w:val="24"/>
                  <w:lang w:eastAsia="en-GB"/>
                </w:rPr>
                <w:t xml:space="preserve">the M25 Junction 10/ A3 </w:t>
              </w:r>
              <w:proofErr w:type="spellStart"/>
              <w:r w:rsidRPr="00300B97">
                <w:rPr>
                  <w:rStyle w:val="Hyperlink"/>
                  <w:rFonts w:ascii="Arial" w:eastAsia="Times New Roman" w:hAnsi="Arial" w:cs="Arial"/>
                  <w:sz w:val="24"/>
                  <w:szCs w:val="24"/>
                  <w:lang w:eastAsia="en-GB"/>
                </w:rPr>
                <w:t>Wisley</w:t>
              </w:r>
              <w:proofErr w:type="spellEnd"/>
              <w:r w:rsidRPr="00300B97">
                <w:rPr>
                  <w:rStyle w:val="Hyperlink"/>
                  <w:rFonts w:ascii="Arial" w:eastAsia="Times New Roman" w:hAnsi="Arial" w:cs="Arial"/>
                  <w:sz w:val="24"/>
                  <w:szCs w:val="24"/>
                  <w:lang w:eastAsia="en-GB"/>
                </w:rPr>
                <w:t xml:space="preserve"> Interchange Project</w:t>
              </w:r>
            </w:hyperlink>
            <w:r w:rsidRPr="00300B97">
              <w:rPr>
                <w:rFonts w:ascii="Arial" w:eastAsia="Times New Roman" w:hAnsi="Arial" w:cs="Arial"/>
                <w:sz w:val="24"/>
                <w:szCs w:val="24"/>
                <w:lang w:eastAsia="en-GB"/>
              </w:rPr>
              <w:t xml:space="preserve"> and the </w:t>
            </w:r>
            <w:hyperlink r:id="rId17" w:history="1">
              <w:r w:rsidRPr="00300B97">
                <w:rPr>
                  <w:rStyle w:val="Hyperlink"/>
                  <w:rFonts w:ascii="Arial" w:eastAsia="Times New Roman" w:hAnsi="Arial" w:cs="Arial"/>
                  <w:sz w:val="24"/>
                  <w:szCs w:val="24"/>
                  <w:lang w:eastAsia="en-GB"/>
                </w:rPr>
                <w:t>M25 Junction 28 Improvement Project</w:t>
              </w:r>
            </w:hyperlink>
            <w:r w:rsidRPr="00300B97">
              <w:rPr>
                <w:rFonts w:ascii="Arial" w:eastAsia="Times New Roman" w:hAnsi="Arial" w:cs="Arial"/>
                <w:sz w:val="24"/>
                <w:szCs w:val="24"/>
                <w:lang w:eastAsia="en-GB"/>
              </w:rPr>
              <w:t>.</w:t>
            </w:r>
          </w:p>
          <w:p w14:paraId="2A6F588C" w14:textId="51E9FC7C" w:rsidR="00C61D8A" w:rsidRPr="00300B97" w:rsidRDefault="00C61D8A" w:rsidP="00C61D8A">
            <w:pPr>
              <w:spacing w:before="0" w:after="0"/>
              <w:rPr>
                <w:rFonts w:ascii="Arial" w:eastAsia="Times New Roman" w:hAnsi="Arial" w:cs="Arial"/>
                <w:sz w:val="24"/>
                <w:szCs w:val="24"/>
                <w:lang w:eastAsia="en-GB"/>
              </w:rPr>
            </w:pPr>
          </w:p>
        </w:tc>
      </w:tr>
      <w:tr w:rsidR="00C61D8A" w:rsidRPr="00300B97" w14:paraId="472A4BDB"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A2278" w14:textId="1A339FD2"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lastRenderedPageBreak/>
              <w:t>3.2</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91A14" w14:textId="6764046C" w:rsidR="00C61D8A" w:rsidRPr="00300B97" w:rsidRDefault="00C61D8A" w:rsidP="00C61D8A">
            <w:pPr>
              <w:spacing w:before="0" w:after="0"/>
              <w:rPr>
                <w:rFonts w:ascii="Arial" w:eastAsia="Times New Roman" w:hAnsi="Arial" w:cs="Arial"/>
                <w:bCs/>
                <w:sz w:val="28"/>
                <w:szCs w:val="28"/>
                <w:lang w:eastAsia="en-GB"/>
              </w:rPr>
            </w:pPr>
            <w:r w:rsidRPr="00300B97">
              <w:rPr>
                <w:rFonts w:ascii="Arial" w:eastAsia="Times New Roman" w:hAnsi="Arial" w:cs="Arial"/>
                <w:b/>
                <w:sz w:val="28"/>
                <w:szCs w:val="28"/>
                <w:lang w:eastAsia="en-GB"/>
              </w:rPr>
              <w:t xml:space="preserve">Biodiversity, </w:t>
            </w:r>
            <w:proofErr w:type="gramStart"/>
            <w:r w:rsidRPr="00300B97">
              <w:rPr>
                <w:rFonts w:ascii="Arial" w:eastAsia="Times New Roman" w:hAnsi="Arial" w:cs="Arial"/>
                <w:b/>
                <w:sz w:val="28"/>
                <w:szCs w:val="28"/>
                <w:lang w:eastAsia="en-GB"/>
              </w:rPr>
              <w:t>ecology</w:t>
            </w:r>
            <w:proofErr w:type="gramEnd"/>
            <w:r w:rsidRPr="00300B97">
              <w:rPr>
                <w:rFonts w:ascii="Arial" w:eastAsia="Times New Roman" w:hAnsi="Arial" w:cs="Arial"/>
                <w:b/>
                <w:sz w:val="28"/>
                <w:szCs w:val="28"/>
                <w:lang w:eastAsia="en-GB"/>
              </w:rPr>
              <w:t xml:space="preserve"> and natural environment </w:t>
            </w:r>
            <w:r w:rsidRPr="00300B97">
              <w:rPr>
                <w:rFonts w:ascii="Arial" w:eastAsia="Times New Roman" w:hAnsi="Arial" w:cs="Arial"/>
                <w:bCs/>
                <w:sz w:val="28"/>
                <w:szCs w:val="28"/>
                <w:lang w:eastAsia="en-GB"/>
              </w:rPr>
              <w:t>(including Habitats Regulations Assessment (HRA))</w:t>
            </w:r>
          </w:p>
        </w:tc>
      </w:tr>
      <w:tr w:rsidR="00C61D8A" w:rsidRPr="00300B97" w14:paraId="793BE66D" w14:textId="77777777" w:rsidTr="00F50C8D">
        <w:tc>
          <w:tcPr>
            <w:tcW w:w="1809" w:type="dxa"/>
            <w:tcBorders>
              <w:top w:val="single" w:sz="4" w:space="0" w:color="auto"/>
              <w:left w:val="single" w:sz="4" w:space="0" w:color="auto"/>
              <w:bottom w:val="single" w:sz="4" w:space="0" w:color="auto"/>
              <w:right w:val="single" w:sz="4" w:space="0" w:color="auto"/>
            </w:tcBorders>
          </w:tcPr>
          <w:p w14:paraId="3CACDB30" w14:textId="2C6EAF12" w:rsidR="00C61D8A" w:rsidRPr="00300B97" w:rsidRDefault="00C61D8A" w:rsidP="00C61D8A">
            <w:pPr>
              <w:spacing w:before="0" w:after="0"/>
              <w:contextualSpacing/>
              <w:rPr>
                <w:rFonts w:ascii="Arial" w:eastAsia="Times New Roman" w:hAnsi="Arial" w:cs="Arial"/>
                <w:lang w:eastAsia="en-GB"/>
              </w:rPr>
            </w:pPr>
            <w:r w:rsidRPr="00300B97">
              <w:rPr>
                <w:rFonts w:ascii="Arial" w:eastAsia="Times New Roman" w:hAnsi="Arial" w:cs="Arial"/>
                <w:sz w:val="24"/>
                <w:szCs w:val="24"/>
                <w:lang w:eastAsia="en-GB"/>
              </w:rPr>
              <w:t>3.2.1</w:t>
            </w:r>
          </w:p>
        </w:tc>
        <w:tc>
          <w:tcPr>
            <w:tcW w:w="2835" w:type="dxa"/>
            <w:tcBorders>
              <w:top w:val="single" w:sz="4" w:space="0" w:color="auto"/>
              <w:left w:val="single" w:sz="4" w:space="0" w:color="auto"/>
              <w:bottom w:val="single" w:sz="4" w:space="0" w:color="auto"/>
              <w:right w:val="single" w:sz="4" w:space="0" w:color="auto"/>
            </w:tcBorders>
          </w:tcPr>
          <w:p w14:paraId="4E6196FB" w14:textId="59801175"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Natural England</w:t>
            </w:r>
          </w:p>
        </w:tc>
        <w:tc>
          <w:tcPr>
            <w:tcW w:w="9639" w:type="dxa"/>
            <w:tcBorders>
              <w:top w:val="single" w:sz="4" w:space="0" w:color="auto"/>
              <w:left w:val="single" w:sz="4" w:space="0" w:color="auto"/>
              <w:bottom w:val="single" w:sz="4" w:space="0" w:color="auto"/>
              <w:right w:val="single" w:sz="4" w:space="0" w:color="auto"/>
            </w:tcBorders>
          </w:tcPr>
          <w:p w14:paraId="4048098D"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Habitats Regulations Assessment</w:t>
            </w:r>
          </w:p>
          <w:p w14:paraId="10E9ED29" w14:textId="389C28F1"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Could Natural England  confirm whether it is satisfied with the Applicant's response in the Report to Inform Habitats Regulations Assessment [REP5</w:t>
            </w:r>
            <w:r w:rsidRPr="00300B97">
              <w:rPr>
                <w:rFonts w:ascii="Arial" w:eastAsia="Times New Roman" w:hAnsi="Arial" w:cs="Arial"/>
                <w:sz w:val="24"/>
                <w:szCs w:val="24"/>
                <w:lang w:eastAsia="en-GB"/>
              </w:rPr>
              <w:noBreakHyphen/>
              <w:t>010] relation to the question of the potential hydrological link between the Proposed Development and Rutland Water Special Protection Area and Ramsar site?</w:t>
            </w:r>
          </w:p>
        </w:tc>
      </w:tr>
      <w:tr w:rsidR="00C61D8A" w:rsidRPr="00300B97" w14:paraId="652E2102"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072F4" w14:textId="5CD883C3"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3.3</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6B157" w14:textId="7204907E" w:rsidR="00C61D8A" w:rsidRPr="00300B97" w:rsidRDefault="00C61D8A" w:rsidP="00C61D8A">
            <w:pPr>
              <w:spacing w:before="0" w:after="0"/>
              <w:rPr>
                <w:rFonts w:ascii="Arial" w:eastAsia="Times New Roman" w:hAnsi="Arial" w:cs="Arial"/>
                <w:b/>
                <w:sz w:val="24"/>
                <w:szCs w:val="24"/>
                <w:lang w:eastAsia="en-GB"/>
              </w:rPr>
            </w:pPr>
            <w:r w:rsidRPr="00300B97">
              <w:rPr>
                <w:rFonts w:ascii="Arial" w:eastAsia="Times New Roman" w:hAnsi="Arial" w:cs="Arial"/>
                <w:b/>
                <w:sz w:val="28"/>
                <w:szCs w:val="28"/>
                <w:lang w:eastAsia="en-GB"/>
              </w:rPr>
              <w:t>Compulsory acquisition, temporary possession and other land or rights considerations</w:t>
            </w:r>
          </w:p>
        </w:tc>
      </w:tr>
      <w:tr w:rsidR="00C61D8A" w:rsidRPr="00300B97" w14:paraId="12FA0D53" w14:textId="77777777" w:rsidTr="00F50C8D">
        <w:tc>
          <w:tcPr>
            <w:tcW w:w="1809" w:type="dxa"/>
            <w:tcBorders>
              <w:top w:val="single" w:sz="4" w:space="0" w:color="auto"/>
              <w:left w:val="single" w:sz="4" w:space="0" w:color="auto"/>
              <w:bottom w:val="single" w:sz="4" w:space="0" w:color="auto"/>
              <w:right w:val="single" w:sz="4" w:space="0" w:color="auto"/>
            </w:tcBorders>
          </w:tcPr>
          <w:p w14:paraId="35B531BA" w14:textId="77777777" w:rsidR="00C61D8A" w:rsidRPr="00300B97" w:rsidRDefault="00C61D8A" w:rsidP="00C61D8A">
            <w:pPr>
              <w:numPr>
                <w:ilvl w:val="2"/>
                <w:numId w:val="2"/>
              </w:numPr>
              <w:spacing w:before="0" w:after="0"/>
              <w:ind w:left="567" w:hanging="567"/>
              <w:contextualSpacing/>
              <w:rPr>
                <w:rFonts w:ascii="Arial" w:eastAsia="Times New Roman" w:hAnsi="Arial" w:cs="Arial"/>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047AB410" w14:textId="130D1E3A"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7E23D3B7" w14:textId="77777777" w:rsidR="00C61D8A" w:rsidRPr="00300B97" w:rsidRDefault="00C61D8A" w:rsidP="00C61D8A">
            <w:pPr>
              <w:keepNext/>
              <w:spacing w:before="0" w:after="0"/>
              <w:ind w:left="28"/>
              <w:rPr>
                <w:rFonts w:ascii="Arial" w:eastAsia="Times New Roman" w:hAnsi="Arial" w:cs="Arial"/>
                <w:b/>
                <w:sz w:val="24"/>
                <w:szCs w:val="24"/>
                <w:lang w:eastAsia="en-GB"/>
              </w:rPr>
            </w:pPr>
            <w:r w:rsidRPr="00300B97">
              <w:rPr>
                <w:rFonts w:ascii="Arial" w:eastAsia="Times New Roman" w:hAnsi="Arial" w:cs="Arial"/>
                <w:b/>
                <w:sz w:val="24"/>
                <w:szCs w:val="24"/>
                <w:lang w:eastAsia="en-GB"/>
              </w:rPr>
              <w:t>CA and TP negotiations</w:t>
            </w:r>
          </w:p>
          <w:p w14:paraId="3AA62584" w14:textId="6F5D6BF5"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Can the Applicant please provide an update of the current situation of negotiations with affected landowners and occupiers over potential acquisition by agreement?</w:t>
            </w:r>
          </w:p>
        </w:tc>
      </w:tr>
      <w:tr w:rsidR="00C61D8A" w:rsidRPr="00300B97" w14:paraId="23CF7B88" w14:textId="77777777" w:rsidTr="00F50C8D">
        <w:tc>
          <w:tcPr>
            <w:tcW w:w="1809" w:type="dxa"/>
            <w:tcBorders>
              <w:top w:val="single" w:sz="4" w:space="0" w:color="auto"/>
              <w:left w:val="single" w:sz="4" w:space="0" w:color="auto"/>
              <w:bottom w:val="single" w:sz="4" w:space="0" w:color="auto"/>
              <w:right w:val="single" w:sz="4" w:space="0" w:color="auto"/>
            </w:tcBorders>
          </w:tcPr>
          <w:p w14:paraId="1DDDF0DC" w14:textId="77777777" w:rsidR="00C61D8A" w:rsidRPr="00300B97" w:rsidRDefault="00C61D8A" w:rsidP="00C61D8A">
            <w:pPr>
              <w:numPr>
                <w:ilvl w:val="2"/>
                <w:numId w:val="2"/>
              </w:numPr>
              <w:spacing w:before="0" w:after="0"/>
              <w:ind w:left="567" w:hanging="567"/>
              <w:contextualSpacing/>
              <w:rPr>
                <w:rFonts w:ascii="Arial" w:eastAsia="Times New Roman" w:hAnsi="Arial" w:cs="Arial"/>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241002CC" w14:textId="26E6C09C"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723E1967" w14:textId="77777777" w:rsidR="00C61D8A" w:rsidRPr="00300B97" w:rsidRDefault="00C61D8A" w:rsidP="00C61D8A">
            <w:pPr>
              <w:keepNext/>
              <w:spacing w:before="0" w:after="0"/>
              <w:ind w:left="28"/>
              <w:rPr>
                <w:rFonts w:ascii="Arial" w:eastAsia="Times New Roman" w:hAnsi="Arial" w:cs="Arial"/>
                <w:b/>
                <w:sz w:val="24"/>
                <w:szCs w:val="24"/>
                <w:lang w:eastAsia="en-GB"/>
              </w:rPr>
            </w:pPr>
            <w:r w:rsidRPr="00300B97">
              <w:rPr>
                <w:rFonts w:ascii="Arial" w:eastAsia="Times New Roman" w:hAnsi="Arial" w:cs="Arial"/>
                <w:b/>
                <w:sz w:val="24"/>
                <w:szCs w:val="24"/>
                <w:lang w:eastAsia="en-GB"/>
              </w:rPr>
              <w:t>Crown Land</w:t>
            </w:r>
          </w:p>
          <w:p w14:paraId="7F2137EC" w14:textId="43011325" w:rsidR="00C61D8A" w:rsidRPr="00300B97" w:rsidRDefault="00C61D8A" w:rsidP="00C61D8A">
            <w:pPr>
              <w:numPr>
                <w:ilvl w:val="0"/>
                <w:numId w:val="4"/>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Could the Applicant please provide the latest information in respect of the Crown land within the application site and whether the appropriate Crown authorities have given written consent under s135 of the PA2008.</w:t>
            </w:r>
          </w:p>
          <w:p w14:paraId="1CEF4FA7" w14:textId="6DECED36" w:rsidR="00C61D8A" w:rsidRPr="00300B97" w:rsidRDefault="00C61D8A" w:rsidP="00C61D8A">
            <w:pPr>
              <w:numPr>
                <w:ilvl w:val="0"/>
                <w:numId w:val="4"/>
              </w:numPr>
              <w:spacing w:before="0" w:after="0"/>
              <w:contextualSpacing/>
              <w:rPr>
                <w:rFonts w:ascii="Arial" w:eastAsia="Times New Roman" w:hAnsi="Arial" w:cs="Arial"/>
                <w:b/>
                <w:sz w:val="24"/>
                <w:szCs w:val="24"/>
                <w:lang w:eastAsia="en-GB"/>
              </w:rPr>
            </w:pPr>
            <w:r w:rsidRPr="00300B97">
              <w:rPr>
                <w:rFonts w:ascii="Arial" w:eastAsia="Times New Roman" w:hAnsi="Arial" w:cs="Arial"/>
                <w:bCs/>
                <w:sz w:val="24"/>
                <w:szCs w:val="24"/>
                <w:lang w:eastAsia="en-GB"/>
              </w:rPr>
              <w:t>If so, could the Applicant please provide copies of those written consents.</w:t>
            </w:r>
          </w:p>
        </w:tc>
      </w:tr>
      <w:tr w:rsidR="00C61D8A" w:rsidRPr="00300B97" w14:paraId="07FD936E" w14:textId="77777777" w:rsidTr="00F50C8D">
        <w:tc>
          <w:tcPr>
            <w:tcW w:w="1809" w:type="dxa"/>
            <w:tcBorders>
              <w:top w:val="single" w:sz="4" w:space="0" w:color="auto"/>
              <w:left w:val="single" w:sz="4" w:space="0" w:color="auto"/>
              <w:bottom w:val="single" w:sz="4" w:space="0" w:color="auto"/>
              <w:right w:val="single" w:sz="4" w:space="0" w:color="auto"/>
            </w:tcBorders>
          </w:tcPr>
          <w:p w14:paraId="69C2DD48" w14:textId="77777777" w:rsidR="00C61D8A" w:rsidRPr="00300B97" w:rsidRDefault="00C61D8A" w:rsidP="00C61D8A">
            <w:pPr>
              <w:numPr>
                <w:ilvl w:val="2"/>
                <w:numId w:val="2"/>
              </w:numPr>
              <w:spacing w:before="0" w:after="0"/>
              <w:ind w:left="567" w:hanging="567"/>
              <w:contextualSpacing/>
              <w:rPr>
                <w:rFonts w:ascii="Arial" w:eastAsia="Times New Roman" w:hAnsi="Arial" w:cs="Arial"/>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73AFFAEE" w14:textId="60BA0993"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2F14FBF4" w14:textId="77777777" w:rsidR="00C61D8A" w:rsidRPr="00300B97" w:rsidRDefault="00C61D8A" w:rsidP="00C61D8A">
            <w:pPr>
              <w:keepNext/>
              <w:spacing w:before="0" w:after="0"/>
              <w:ind w:left="28"/>
              <w:rPr>
                <w:rFonts w:ascii="Arial" w:eastAsia="Times New Roman" w:hAnsi="Arial" w:cs="Arial"/>
                <w:bCs/>
                <w:sz w:val="24"/>
                <w:szCs w:val="24"/>
                <w:lang w:eastAsia="en-GB"/>
              </w:rPr>
            </w:pPr>
            <w:r w:rsidRPr="00300B97">
              <w:rPr>
                <w:rFonts w:ascii="Arial" w:eastAsia="Times New Roman" w:hAnsi="Arial" w:cs="Arial"/>
                <w:b/>
                <w:bCs/>
                <w:sz w:val="24"/>
                <w:szCs w:val="24"/>
                <w:lang w:eastAsia="en-GB"/>
              </w:rPr>
              <w:t>Statutory</w:t>
            </w:r>
            <w:r w:rsidRPr="00300B97">
              <w:rPr>
                <w:rFonts w:ascii="Arial" w:eastAsia="Times New Roman" w:hAnsi="Arial" w:cs="Arial"/>
                <w:b/>
                <w:sz w:val="24"/>
                <w:szCs w:val="24"/>
                <w:lang w:eastAsia="en-GB"/>
              </w:rPr>
              <w:t xml:space="preserve"> undertakers</w:t>
            </w:r>
          </w:p>
          <w:p w14:paraId="06ABCDA9" w14:textId="579B0F35"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Can the latest position of the current situation of negotiations with Statutory Undertakers be updated and in particular </w:t>
            </w:r>
            <w:proofErr w:type="gramStart"/>
            <w:r w:rsidRPr="00300B97">
              <w:rPr>
                <w:rFonts w:ascii="Arial" w:eastAsia="Times New Roman" w:hAnsi="Arial" w:cs="Arial"/>
                <w:bCs/>
                <w:sz w:val="24"/>
                <w:szCs w:val="24"/>
                <w:lang w:eastAsia="en-GB"/>
              </w:rPr>
              <w:t>with regard to</w:t>
            </w:r>
            <w:proofErr w:type="gramEnd"/>
            <w:r w:rsidRPr="00300B97">
              <w:rPr>
                <w:rFonts w:ascii="Arial" w:eastAsia="Times New Roman" w:hAnsi="Arial" w:cs="Arial"/>
                <w:bCs/>
                <w:sz w:val="24"/>
                <w:szCs w:val="24"/>
                <w:lang w:eastAsia="en-GB"/>
              </w:rPr>
              <w:t xml:space="preserve"> the protective provisions?</w:t>
            </w:r>
          </w:p>
        </w:tc>
      </w:tr>
      <w:tr w:rsidR="00C61D8A" w:rsidRPr="00300B97" w14:paraId="5CCAABBB"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96929" w14:textId="60D74AD5"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3.4</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42921" w14:textId="6A0399C3" w:rsidR="00C61D8A" w:rsidRPr="00300B97" w:rsidRDefault="00C61D8A" w:rsidP="00C61D8A">
            <w:pPr>
              <w:spacing w:before="0" w:after="0"/>
              <w:rPr>
                <w:rFonts w:ascii="Arial" w:eastAsia="Times New Roman" w:hAnsi="Arial" w:cs="Arial"/>
                <w:b/>
                <w:sz w:val="24"/>
                <w:szCs w:val="24"/>
                <w:lang w:eastAsia="en-GB"/>
              </w:rPr>
            </w:pPr>
            <w:r w:rsidRPr="00300B97">
              <w:rPr>
                <w:rFonts w:ascii="Arial" w:eastAsia="Times New Roman" w:hAnsi="Arial" w:cs="Arial"/>
                <w:b/>
                <w:sz w:val="28"/>
                <w:szCs w:val="28"/>
                <w:lang w:eastAsia="en-GB"/>
              </w:rPr>
              <w:t>Cultural heritage</w:t>
            </w:r>
          </w:p>
        </w:tc>
      </w:tr>
      <w:tr w:rsidR="00C61D8A" w:rsidRPr="00300B97" w14:paraId="70F82C06" w14:textId="77777777" w:rsidTr="00F50C8D">
        <w:tc>
          <w:tcPr>
            <w:tcW w:w="1809" w:type="dxa"/>
            <w:tcBorders>
              <w:top w:val="single" w:sz="4" w:space="0" w:color="auto"/>
              <w:left w:val="single" w:sz="4" w:space="0" w:color="auto"/>
              <w:bottom w:val="single" w:sz="4" w:space="0" w:color="auto"/>
              <w:right w:val="single" w:sz="4" w:space="0" w:color="auto"/>
            </w:tcBorders>
          </w:tcPr>
          <w:p w14:paraId="662B0F7B" w14:textId="77777777" w:rsidR="00C61D8A" w:rsidRPr="00300B97" w:rsidRDefault="00C61D8A" w:rsidP="00C61D8A">
            <w:pPr>
              <w:pStyle w:val="ListParagraph"/>
              <w:numPr>
                <w:ilvl w:val="0"/>
                <w:numId w:val="23"/>
              </w:numPr>
              <w:spacing w:before="0" w:after="0"/>
              <w:rPr>
                <w:rFonts w:ascii="Arial" w:eastAsia="Times New Roman" w:hAnsi="Arial" w:cs="Arial"/>
                <w:lang w:eastAsia="en-GB"/>
              </w:rPr>
            </w:pPr>
            <w:bookmarkStart w:id="0" w:name="_Ref42775695" w:colFirst="0" w:colLast="0"/>
          </w:p>
        </w:tc>
        <w:tc>
          <w:tcPr>
            <w:tcW w:w="2835" w:type="dxa"/>
            <w:tcBorders>
              <w:top w:val="single" w:sz="4" w:space="0" w:color="auto"/>
              <w:left w:val="single" w:sz="4" w:space="0" w:color="auto"/>
              <w:bottom w:val="single" w:sz="4" w:space="0" w:color="auto"/>
              <w:right w:val="single" w:sz="4" w:space="0" w:color="auto"/>
            </w:tcBorders>
          </w:tcPr>
          <w:p w14:paraId="0D36E851" w14:textId="77777777"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p w14:paraId="1CFDC6C4" w14:textId="6928F928"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HMBCE</w:t>
            </w:r>
          </w:p>
        </w:tc>
        <w:tc>
          <w:tcPr>
            <w:tcW w:w="9639" w:type="dxa"/>
            <w:tcBorders>
              <w:top w:val="single" w:sz="4" w:space="0" w:color="auto"/>
              <w:left w:val="single" w:sz="4" w:space="0" w:color="auto"/>
              <w:bottom w:val="single" w:sz="4" w:space="0" w:color="auto"/>
              <w:right w:val="single" w:sz="4" w:space="0" w:color="auto"/>
            </w:tcBorders>
          </w:tcPr>
          <w:p w14:paraId="70694427" w14:textId="77777777" w:rsidR="00C61D8A" w:rsidRPr="00300B97" w:rsidRDefault="00C61D8A" w:rsidP="00C61D8A">
            <w:pPr>
              <w:keepNext/>
              <w:spacing w:before="0" w:after="0"/>
              <w:ind w:left="28"/>
              <w:rPr>
                <w:rFonts w:ascii="Arial" w:eastAsia="Times New Roman" w:hAnsi="Arial" w:cs="Arial"/>
                <w:b/>
                <w:sz w:val="24"/>
                <w:szCs w:val="24"/>
                <w:lang w:eastAsia="en-GB"/>
              </w:rPr>
            </w:pPr>
            <w:r w:rsidRPr="00300B97">
              <w:rPr>
                <w:rFonts w:ascii="Arial" w:eastAsia="Times New Roman" w:hAnsi="Arial" w:cs="Arial"/>
                <w:b/>
                <w:bCs/>
                <w:sz w:val="24"/>
                <w:szCs w:val="24"/>
                <w:lang w:eastAsia="en-GB"/>
              </w:rPr>
              <w:t>Scheduled</w:t>
            </w:r>
            <w:r w:rsidRPr="00300B97">
              <w:rPr>
                <w:rFonts w:ascii="Arial" w:eastAsia="Times New Roman" w:hAnsi="Arial" w:cs="Arial"/>
                <w:b/>
                <w:sz w:val="24"/>
                <w:szCs w:val="24"/>
                <w:lang w:eastAsia="en-GB"/>
              </w:rPr>
              <w:t xml:space="preserve"> monument north of A47 (List entry 1006796)</w:t>
            </w:r>
          </w:p>
          <w:p w14:paraId="31520892" w14:textId="12DB1AF4"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In the Minutes of the Meeting held on 15 June 2007 set out in Appendix O of the Scheme Assessment Report 2018 – Appendices Preferred Route Decision in relation to </w:t>
            </w:r>
            <w:r w:rsidRPr="00300B97">
              <w:rPr>
                <w:rFonts w:ascii="Arial" w:eastAsia="Times New Roman" w:hAnsi="Arial" w:cs="Arial"/>
                <w:bCs/>
                <w:sz w:val="24"/>
                <w:szCs w:val="24"/>
                <w:lang w:eastAsia="en-GB"/>
              </w:rPr>
              <w:lastRenderedPageBreak/>
              <w:t>Option 3 [AS</w:t>
            </w:r>
            <w:r w:rsidRPr="00300B97">
              <w:rPr>
                <w:rFonts w:ascii="Arial" w:eastAsia="Times New Roman" w:hAnsi="Arial" w:cs="Arial"/>
                <w:bCs/>
                <w:sz w:val="24"/>
                <w:szCs w:val="24"/>
                <w:lang w:eastAsia="en-GB"/>
              </w:rPr>
              <w:noBreakHyphen/>
              <w:t>031] in paragraph 7.0 it is stated that Option 3 was rejected because “we [the now Applicant] cannot demonstrate a wholly exceptional case for progressing with Option 3”. Option 3 being a route through the Scheduled Monument.</w:t>
            </w:r>
          </w:p>
          <w:p w14:paraId="1A70A481" w14:textId="77777777" w:rsidR="00C61D8A" w:rsidRPr="00300B97" w:rsidRDefault="00C61D8A" w:rsidP="00C61D8A">
            <w:pPr>
              <w:spacing w:before="0" w:after="0"/>
              <w:ind w:left="29"/>
              <w:rPr>
                <w:rFonts w:ascii="Arial" w:eastAsia="Times New Roman" w:hAnsi="Arial" w:cs="Arial"/>
                <w:bCs/>
                <w:sz w:val="24"/>
                <w:szCs w:val="24"/>
                <w:lang w:eastAsia="en-GB"/>
              </w:rPr>
            </w:pPr>
          </w:p>
          <w:p w14:paraId="331F9B3D" w14:textId="61437ADA"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NPSNN paragraph 5.131 indicates that the “wholly exceptional” test applies when there would be “substantial harm”, (this test does not apply to less than substantial harm) and it must therefore be assumed that this must have been the judgement in question. Reference ID 18a-018-20190723 of the PPG gives guidance on substantial harm and less than substantial harm.</w:t>
            </w:r>
          </w:p>
          <w:p w14:paraId="583AFFC0" w14:textId="77777777" w:rsidR="00C61D8A" w:rsidRPr="00300B97" w:rsidRDefault="00C61D8A" w:rsidP="00C61D8A">
            <w:pPr>
              <w:spacing w:before="0" w:after="0"/>
              <w:ind w:left="29"/>
              <w:rPr>
                <w:rFonts w:ascii="Arial" w:eastAsia="Times New Roman" w:hAnsi="Arial" w:cs="Arial"/>
                <w:bCs/>
                <w:sz w:val="24"/>
                <w:szCs w:val="24"/>
                <w:lang w:eastAsia="en-GB"/>
              </w:rPr>
            </w:pPr>
          </w:p>
          <w:p w14:paraId="5E93309A" w14:textId="6644C04F" w:rsidR="00C61D8A" w:rsidRPr="00300B97" w:rsidRDefault="00C61D8A" w:rsidP="00C61D8A">
            <w:pPr>
              <w:numPr>
                <w:ilvl w:val="0"/>
                <w:numId w:val="16"/>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Could the Applicant please set out precisely why it considered that Option 3 would lead to “substantial harm”. The minutes only state that this decision was based on the “risk that Historic England will object”, and the comment at 3.1 of the Applicant’s response to Written Representations [REP3-026] of “Bifurcation of the Scheduled Monument would result in substantial harm in either eventuality” is assertion as it does not explain why it considers substantial harm would be occasioned. The ExA would particularly appreciate documents dating contemporaneously (2017) with this decision.</w:t>
            </w:r>
          </w:p>
          <w:p w14:paraId="3EE13077" w14:textId="77777777" w:rsidR="00C61D8A" w:rsidRPr="00300B97" w:rsidRDefault="00C61D8A" w:rsidP="00C61D8A">
            <w:pPr>
              <w:spacing w:before="0" w:after="0"/>
              <w:ind w:left="749"/>
              <w:contextualSpacing/>
              <w:rPr>
                <w:rFonts w:ascii="Arial" w:eastAsia="Times New Roman" w:hAnsi="Arial" w:cs="Arial"/>
                <w:bCs/>
                <w:sz w:val="24"/>
                <w:szCs w:val="24"/>
                <w:lang w:eastAsia="en-GB"/>
              </w:rPr>
            </w:pPr>
          </w:p>
          <w:p w14:paraId="07EB8273" w14:textId="4FBC5BB0" w:rsidR="00C61D8A" w:rsidRPr="00300B97" w:rsidRDefault="00C61D8A" w:rsidP="00C61D8A">
            <w:pPr>
              <w:numPr>
                <w:ilvl w:val="0"/>
                <w:numId w:val="16"/>
              </w:numPr>
              <w:spacing w:before="0" w:after="0"/>
              <w:contextualSpacing/>
              <w:rPr>
                <w:rFonts w:ascii="Arial" w:eastAsia="Times New Roman" w:hAnsi="Arial" w:cs="Arial"/>
                <w:b/>
                <w:sz w:val="24"/>
                <w:szCs w:val="24"/>
                <w:lang w:eastAsia="en-GB"/>
              </w:rPr>
            </w:pPr>
            <w:r w:rsidRPr="00300B97">
              <w:rPr>
                <w:rFonts w:ascii="Arial" w:eastAsia="Times New Roman" w:hAnsi="Arial" w:cs="Arial"/>
                <w:bCs/>
                <w:sz w:val="24"/>
                <w:szCs w:val="24"/>
                <w:lang w:eastAsia="en-GB"/>
              </w:rPr>
              <w:t>Could HMBCE please provide its assessment in relation to route Option 3 (ie through the Scheduled Monument) in terms of whether this would result in substantial harm, less than substantial harm (quantifying if necessary), or preserve, providing justification for its conclusion?</w:t>
            </w:r>
          </w:p>
        </w:tc>
      </w:tr>
      <w:tr w:rsidR="00C61D8A" w:rsidRPr="00300B97" w14:paraId="6BA4C416" w14:textId="77777777" w:rsidTr="00F50C8D">
        <w:tc>
          <w:tcPr>
            <w:tcW w:w="1809" w:type="dxa"/>
            <w:tcBorders>
              <w:top w:val="single" w:sz="4" w:space="0" w:color="auto"/>
              <w:left w:val="single" w:sz="4" w:space="0" w:color="auto"/>
              <w:bottom w:val="single" w:sz="4" w:space="0" w:color="auto"/>
              <w:right w:val="single" w:sz="4" w:space="0" w:color="auto"/>
            </w:tcBorders>
          </w:tcPr>
          <w:p w14:paraId="292732EC" w14:textId="77777777" w:rsidR="00C61D8A" w:rsidRPr="00300B97" w:rsidRDefault="00C61D8A" w:rsidP="00C61D8A">
            <w:pPr>
              <w:pStyle w:val="ListParagraph"/>
              <w:numPr>
                <w:ilvl w:val="0"/>
                <w:numId w:val="23"/>
              </w:numPr>
              <w:spacing w:before="0" w:after="0"/>
              <w:rPr>
                <w:rFonts w:ascii="Arial" w:eastAsia="Times New Roman" w:hAnsi="Arial" w:cs="Arial"/>
                <w:lang w:eastAsia="en-GB"/>
              </w:rPr>
            </w:pPr>
          </w:p>
        </w:tc>
        <w:tc>
          <w:tcPr>
            <w:tcW w:w="2835" w:type="dxa"/>
            <w:tcBorders>
              <w:top w:val="single" w:sz="4" w:space="0" w:color="auto"/>
              <w:left w:val="single" w:sz="4" w:space="0" w:color="auto"/>
              <w:bottom w:val="single" w:sz="4" w:space="0" w:color="auto"/>
              <w:right w:val="single" w:sz="4" w:space="0" w:color="auto"/>
            </w:tcBorders>
          </w:tcPr>
          <w:p w14:paraId="5FD95D9A" w14:textId="650443EC"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PCC</w:t>
            </w:r>
          </w:p>
        </w:tc>
        <w:tc>
          <w:tcPr>
            <w:tcW w:w="9639" w:type="dxa"/>
            <w:tcBorders>
              <w:top w:val="single" w:sz="4" w:space="0" w:color="auto"/>
              <w:left w:val="single" w:sz="4" w:space="0" w:color="auto"/>
              <w:bottom w:val="single" w:sz="4" w:space="0" w:color="auto"/>
              <w:right w:val="single" w:sz="4" w:space="0" w:color="auto"/>
            </w:tcBorders>
          </w:tcPr>
          <w:p w14:paraId="4B0D5BE0" w14:textId="77777777" w:rsidR="00C61D8A" w:rsidRPr="00300B97" w:rsidRDefault="00C61D8A" w:rsidP="00C61D8A">
            <w:pPr>
              <w:keepNext/>
              <w:spacing w:before="0" w:after="0"/>
              <w:ind w:left="28"/>
              <w:rPr>
                <w:rFonts w:ascii="Arial" w:eastAsia="Times New Roman" w:hAnsi="Arial" w:cs="Arial"/>
                <w:bCs/>
                <w:sz w:val="24"/>
                <w:szCs w:val="24"/>
                <w:lang w:eastAsia="en-GB"/>
              </w:rPr>
            </w:pPr>
            <w:proofErr w:type="spellStart"/>
            <w:r w:rsidRPr="00300B97">
              <w:rPr>
                <w:rFonts w:ascii="Arial" w:eastAsia="Times New Roman" w:hAnsi="Arial" w:cs="Arial"/>
                <w:b/>
                <w:bCs/>
                <w:sz w:val="24"/>
                <w:szCs w:val="24"/>
                <w:lang w:eastAsia="en-GB"/>
              </w:rPr>
              <w:t>Thornhaugh</w:t>
            </w:r>
            <w:proofErr w:type="spellEnd"/>
            <w:r w:rsidRPr="00300B97">
              <w:rPr>
                <w:rFonts w:ascii="Arial" w:eastAsia="Times New Roman" w:hAnsi="Arial" w:cs="Arial"/>
                <w:b/>
                <w:sz w:val="24"/>
                <w:szCs w:val="24"/>
                <w:lang w:eastAsia="en-GB"/>
              </w:rPr>
              <w:t xml:space="preserve"> Conservation Area Appraisal</w:t>
            </w:r>
          </w:p>
          <w:p w14:paraId="30E8BCEE" w14:textId="23D87656"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The version of the </w:t>
            </w:r>
            <w:proofErr w:type="spellStart"/>
            <w:r w:rsidRPr="00300B97">
              <w:rPr>
                <w:rFonts w:ascii="Arial" w:eastAsia="Times New Roman" w:hAnsi="Arial" w:cs="Arial"/>
                <w:bCs/>
                <w:sz w:val="24"/>
                <w:szCs w:val="24"/>
                <w:lang w:eastAsia="en-GB"/>
              </w:rPr>
              <w:t>Thornhaugh</w:t>
            </w:r>
            <w:proofErr w:type="spellEnd"/>
            <w:r w:rsidRPr="00300B97">
              <w:rPr>
                <w:rFonts w:ascii="Arial" w:eastAsia="Times New Roman" w:hAnsi="Arial" w:cs="Arial"/>
                <w:bCs/>
                <w:sz w:val="24"/>
                <w:szCs w:val="24"/>
                <w:lang w:eastAsia="en-GB"/>
              </w:rPr>
              <w:t xml:space="preserve"> Conservation Area Appraisal – Report and Management Plan provided [REP2</w:t>
            </w:r>
            <w:r w:rsidRPr="00300B97">
              <w:rPr>
                <w:rFonts w:ascii="Arial" w:eastAsia="Times New Roman" w:hAnsi="Arial" w:cs="Arial"/>
                <w:bCs/>
                <w:sz w:val="24"/>
                <w:szCs w:val="24"/>
                <w:lang w:eastAsia="en-GB"/>
              </w:rPr>
              <w:noBreakHyphen/>
              <w:t xml:space="preserve">065] is dated October 2018 and is marked “Draft for Consultation”. </w:t>
            </w:r>
            <w:r w:rsidRPr="00300B97">
              <w:rPr>
                <w:rFonts w:ascii="Arial" w:eastAsia="Times New Roman" w:hAnsi="Arial" w:cs="Arial"/>
                <w:bCs/>
                <w:sz w:val="24"/>
                <w:szCs w:val="24"/>
                <w:lang w:eastAsia="en-GB"/>
              </w:rPr>
              <w:lastRenderedPageBreak/>
              <w:t>Could PCC confirm whether this has been taken through to adoption and, if so, provide the adopted version and the date of such adoption?</w:t>
            </w:r>
          </w:p>
        </w:tc>
      </w:tr>
      <w:tr w:rsidR="00C61D8A" w:rsidRPr="00300B97" w14:paraId="661D7F25" w14:textId="77777777" w:rsidTr="00F50C8D">
        <w:tc>
          <w:tcPr>
            <w:tcW w:w="1809" w:type="dxa"/>
            <w:tcBorders>
              <w:top w:val="single" w:sz="4" w:space="0" w:color="auto"/>
              <w:left w:val="single" w:sz="4" w:space="0" w:color="auto"/>
              <w:bottom w:val="single" w:sz="4" w:space="0" w:color="auto"/>
              <w:right w:val="single" w:sz="4" w:space="0" w:color="auto"/>
            </w:tcBorders>
          </w:tcPr>
          <w:p w14:paraId="50175DA2" w14:textId="77777777" w:rsidR="00C61D8A" w:rsidRPr="00300B97" w:rsidRDefault="00C61D8A" w:rsidP="00C61D8A">
            <w:pPr>
              <w:pStyle w:val="ListParagraph"/>
              <w:numPr>
                <w:ilvl w:val="0"/>
                <w:numId w:val="23"/>
              </w:numPr>
              <w:spacing w:before="0" w:after="0"/>
              <w:rPr>
                <w:rFonts w:ascii="Arial" w:eastAsia="Times New Roman" w:hAnsi="Arial" w:cs="Arial"/>
                <w:lang w:eastAsia="en-GB"/>
              </w:rPr>
            </w:pPr>
          </w:p>
        </w:tc>
        <w:tc>
          <w:tcPr>
            <w:tcW w:w="2835" w:type="dxa"/>
            <w:tcBorders>
              <w:top w:val="single" w:sz="4" w:space="0" w:color="auto"/>
              <w:left w:val="single" w:sz="4" w:space="0" w:color="auto"/>
              <w:bottom w:val="single" w:sz="4" w:space="0" w:color="auto"/>
              <w:right w:val="single" w:sz="4" w:space="0" w:color="auto"/>
            </w:tcBorders>
          </w:tcPr>
          <w:p w14:paraId="2B6FECEA" w14:textId="1372E8FD"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44AA2B78"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Wansford Road Railway Station</w:t>
            </w:r>
          </w:p>
          <w:p w14:paraId="6A6382EC"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In the draft SoCG with Sutton Parish Council in the Matters not Agreed between the Parties at Ref No 2 is stated: </w:t>
            </w:r>
          </w:p>
          <w:p w14:paraId="247DFCF3" w14:textId="77777777" w:rsidR="00C61D8A" w:rsidRPr="00300B97" w:rsidRDefault="00C61D8A" w:rsidP="00C61D8A">
            <w:pPr>
              <w:keepNext/>
              <w:spacing w:before="0" w:after="0"/>
              <w:ind w:left="28"/>
              <w:rPr>
                <w:rFonts w:ascii="Arial" w:eastAsia="Times New Roman" w:hAnsi="Arial" w:cs="Arial"/>
                <w:sz w:val="24"/>
                <w:szCs w:val="24"/>
                <w:lang w:eastAsia="en-GB"/>
              </w:rPr>
            </w:pPr>
          </w:p>
          <w:p w14:paraId="6DB4877A" w14:textId="3780EBAF" w:rsidR="00C61D8A" w:rsidRPr="00300B97" w:rsidRDefault="00C61D8A" w:rsidP="00C61D8A">
            <w:pPr>
              <w:keepNext/>
              <w:spacing w:before="0" w:after="0"/>
              <w:ind w:left="720"/>
              <w:rPr>
                <w:rFonts w:ascii="Arial" w:eastAsia="Times New Roman" w:hAnsi="Arial" w:cs="Arial"/>
                <w:sz w:val="24"/>
                <w:szCs w:val="24"/>
                <w:lang w:eastAsia="en-GB"/>
              </w:rPr>
            </w:pPr>
            <w:r w:rsidRPr="00300B97">
              <w:rPr>
                <w:rFonts w:ascii="Arial" w:eastAsia="Times New Roman" w:hAnsi="Arial" w:cs="Arial"/>
                <w:sz w:val="24"/>
                <w:szCs w:val="24"/>
                <w:lang w:eastAsia="en-GB"/>
              </w:rPr>
              <w:t>“The NH Project Director gave a long awaited explanation on 13/05/2022 as to the reasoning why a proposal for the building put forward by a resident of Sutton was rejected in favour of that put forward by Nene Valley Railway.”</w:t>
            </w:r>
          </w:p>
          <w:p w14:paraId="3E4F0526" w14:textId="77777777" w:rsidR="00C61D8A" w:rsidRPr="00300B97" w:rsidRDefault="00C61D8A" w:rsidP="00C61D8A">
            <w:pPr>
              <w:keepNext/>
              <w:spacing w:before="0" w:after="0"/>
              <w:ind w:left="28"/>
              <w:rPr>
                <w:rFonts w:ascii="Arial" w:eastAsia="Times New Roman" w:hAnsi="Arial" w:cs="Arial"/>
                <w:sz w:val="24"/>
                <w:szCs w:val="24"/>
                <w:lang w:eastAsia="en-GB"/>
              </w:rPr>
            </w:pPr>
          </w:p>
          <w:p w14:paraId="7FE09768" w14:textId="0CF50F9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sz w:val="24"/>
                <w:szCs w:val="24"/>
                <w:lang w:eastAsia="en-GB"/>
              </w:rPr>
              <w:t>While appreciating that this relates to a matter of Designated Funds rather than being part of the Proposed Development, the ExA would appreciate being appraised of this explanation. This should include reasoning for the decision.</w:t>
            </w:r>
          </w:p>
        </w:tc>
      </w:tr>
      <w:bookmarkEnd w:id="0"/>
      <w:tr w:rsidR="00C61D8A" w:rsidRPr="00300B97" w14:paraId="119FA0D1"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9D1BA" w14:textId="01CDB6BC"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3.5</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FAA27" w14:textId="09C1B849" w:rsidR="00C61D8A" w:rsidRPr="00300B97" w:rsidRDefault="00C61D8A" w:rsidP="00C61D8A">
            <w:pPr>
              <w:spacing w:before="0" w:after="0"/>
              <w:rPr>
                <w:rFonts w:ascii="Arial" w:eastAsia="Times New Roman" w:hAnsi="Arial" w:cs="Arial"/>
                <w:b/>
                <w:sz w:val="28"/>
                <w:szCs w:val="28"/>
                <w:lang w:eastAsia="en-GB"/>
              </w:rPr>
            </w:pPr>
            <w:r w:rsidRPr="00300B97">
              <w:rPr>
                <w:rFonts w:ascii="Arial" w:eastAsia="Times New Roman" w:hAnsi="Arial" w:cs="Arial"/>
                <w:b/>
                <w:sz w:val="28"/>
                <w:szCs w:val="28"/>
                <w:lang w:eastAsia="en-GB"/>
              </w:rPr>
              <w:t>Cumulative and cross-cutting effects</w:t>
            </w:r>
          </w:p>
        </w:tc>
      </w:tr>
      <w:tr w:rsidR="00C61D8A" w:rsidRPr="00300B97" w14:paraId="4808F447" w14:textId="77777777" w:rsidTr="00F50C8D">
        <w:tc>
          <w:tcPr>
            <w:tcW w:w="1809" w:type="dxa"/>
            <w:tcBorders>
              <w:top w:val="single" w:sz="4" w:space="0" w:color="auto"/>
              <w:left w:val="single" w:sz="4" w:space="0" w:color="auto"/>
              <w:bottom w:val="single" w:sz="4" w:space="0" w:color="auto"/>
              <w:right w:val="single" w:sz="4" w:space="0" w:color="auto"/>
            </w:tcBorders>
          </w:tcPr>
          <w:p w14:paraId="33E93523" w14:textId="3EC52485"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3.5.1</w:t>
            </w:r>
          </w:p>
        </w:tc>
        <w:tc>
          <w:tcPr>
            <w:tcW w:w="2835" w:type="dxa"/>
            <w:tcBorders>
              <w:top w:val="single" w:sz="4" w:space="0" w:color="auto"/>
              <w:left w:val="single" w:sz="4" w:space="0" w:color="auto"/>
              <w:bottom w:val="single" w:sz="4" w:space="0" w:color="auto"/>
              <w:right w:val="single" w:sz="4" w:space="0" w:color="auto"/>
            </w:tcBorders>
          </w:tcPr>
          <w:p w14:paraId="14A856EF" w14:textId="2939BC7B" w:rsidR="00C61D8A" w:rsidRPr="00300B97" w:rsidRDefault="00C61D8A" w:rsidP="00C61D8A">
            <w:pPr>
              <w:spacing w:before="0" w:after="0"/>
              <w:rPr>
                <w:rFonts w:ascii="Arial" w:eastAsia="Times New Roman" w:hAnsi="Arial" w:cs="Arial"/>
                <w:sz w:val="24"/>
                <w:szCs w:val="24"/>
                <w:lang w:eastAsia="en-GB"/>
              </w:rPr>
            </w:pPr>
          </w:p>
        </w:tc>
        <w:tc>
          <w:tcPr>
            <w:tcW w:w="9639" w:type="dxa"/>
            <w:tcBorders>
              <w:top w:val="single" w:sz="4" w:space="0" w:color="auto"/>
              <w:left w:val="single" w:sz="4" w:space="0" w:color="auto"/>
              <w:bottom w:val="single" w:sz="4" w:space="0" w:color="auto"/>
              <w:right w:val="single" w:sz="4" w:space="0" w:color="auto"/>
            </w:tcBorders>
          </w:tcPr>
          <w:p w14:paraId="5B723931" w14:textId="6C5D4581"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The ExA has no </w:t>
            </w:r>
            <w:r w:rsidRPr="00300B97">
              <w:rPr>
                <w:rFonts w:ascii="Arial" w:eastAsia="Times New Roman" w:hAnsi="Arial" w:cs="Arial"/>
                <w:bCs/>
                <w:sz w:val="24"/>
                <w:szCs w:val="24"/>
                <w:lang w:eastAsia="en-GB"/>
              </w:rPr>
              <w:t>cumulative</w:t>
            </w:r>
            <w:r w:rsidRPr="00300B97">
              <w:rPr>
                <w:rFonts w:ascii="Arial" w:eastAsia="Times New Roman" w:hAnsi="Arial" w:cs="Arial"/>
                <w:sz w:val="24"/>
                <w:szCs w:val="24"/>
                <w:lang w:eastAsia="en-GB"/>
              </w:rPr>
              <w:t xml:space="preserve"> and cross-cutting questions at this point in the Examination.</w:t>
            </w:r>
          </w:p>
        </w:tc>
      </w:tr>
      <w:tr w:rsidR="00C61D8A" w:rsidRPr="00300B97" w14:paraId="120B3E45"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94756" w14:textId="7C23BD21"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3.6</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29B44" w14:textId="44F4C4C8" w:rsidR="00C61D8A" w:rsidRPr="00300B97" w:rsidRDefault="00C61D8A" w:rsidP="00C61D8A">
            <w:pPr>
              <w:spacing w:before="0" w:after="0"/>
              <w:rPr>
                <w:rFonts w:ascii="Arial" w:eastAsia="Times New Roman" w:hAnsi="Arial" w:cs="Arial"/>
                <w:b/>
                <w:sz w:val="28"/>
                <w:szCs w:val="28"/>
                <w:lang w:eastAsia="en-GB"/>
              </w:rPr>
            </w:pPr>
            <w:r w:rsidRPr="00300B97">
              <w:rPr>
                <w:rFonts w:ascii="Arial" w:eastAsia="Times New Roman" w:hAnsi="Arial" w:cs="Arial"/>
                <w:b/>
                <w:sz w:val="28"/>
                <w:szCs w:val="28"/>
                <w:lang w:eastAsia="en-GB"/>
              </w:rPr>
              <w:t xml:space="preserve">Draft Development Consent Order (DCO) </w:t>
            </w:r>
            <w:r w:rsidRPr="00300B97">
              <w:rPr>
                <w:rFonts w:ascii="Arial" w:eastAsia="Times New Roman" w:hAnsi="Arial" w:cs="Arial"/>
                <w:bCs/>
                <w:sz w:val="28"/>
                <w:szCs w:val="28"/>
                <w:lang w:eastAsia="en-GB"/>
              </w:rPr>
              <w:t>[REP5</w:t>
            </w:r>
            <w:r w:rsidRPr="00300B97">
              <w:rPr>
                <w:rFonts w:ascii="Arial" w:eastAsia="Times New Roman" w:hAnsi="Arial" w:cs="Arial"/>
                <w:bCs/>
                <w:sz w:val="28"/>
                <w:szCs w:val="28"/>
                <w:lang w:eastAsia="en-GB"/>
              </w:rPr>
              <w:noBreakHyphen/>
              <w:t>005/REP5</w:t>
            </w:r>
            <w:r w:rsidRPr="00300B97">
              <w:rPr>
                <w:rFonts w:ascii="Arial" w:eastAsia="Times New Roman" w:hAnsi="Arial" w:cs="Arial"/>
                <w:bCs/>
                <w:sz w:val="28"/>
                <w:szCs w:val="28"/>
                <w:lang w:eastAsia="en-GB"/>
              </w:rPr>
              <w:noBreakHyphen/>
              <w:t>006]</w:t>
            </w:r>
          </w:p>
        </w:tc>
      </w:tr>
      <w:tr w:rsidR="00C61D8A" w:rsidRPr="00300B97" w14:paraId="5370EDFF" w14:textId="77777777" w:rsidTr="00F50C8D">
        <w:tc>
          <w:tcPr>
            <w:tcW w:w="1809" w:type="dxa"/>
            <w:tcBorders>
              <w:top w:val="single" w:sz="4" w:space="0" w:color="auto"/>
              <w:left w:val="single" w:sz="4" w:space="0" w:color="auto"/>
              <w:bottom w:val="single" w:sz="4" w:space="0" w:color="auto"/>
              <w:right w:val="single" w:sz="4" w:space="0" w:color="auto"/>
            </w:tcBorders>
          </w:tcPr>
          <w:p w14:paraId="47A10882" w14:textId="0CBE7D97"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3.6.1</w:t>
            </w:r>
          </w:p>
        </w:tc>
        <w:tc>
          <w:tcPr>
            <w:tcW w:w="2835" w:type="dxa"/>
            <w:tcBorders>
              <w:top w:val="single" w:sz="4" w:space="0" w:color="auto"/>
              <w:left w:val="single" w:sz="4" w:space="0" w:color="auto"/>
              <w:bottom w:val="single" w:sz="4" w:space="0" w:color="auto"/>
              <w:right w:val="single" w:sz="4" w:space="0" w:color="auto"/>
            </w:tcBorders>
          </w:tcPr>
          <w:p w14:paraId="07D033A1" w14:textId="7F72109B"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5216C51D" w14:textId="1B330676"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Article 7 – Planning permission</w:t>
            </w:r>
          </w:p>
          <w:p w14:paraId="31BC04B5" w14:textId="77777777"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Could the Applicant </w:t>
            </w:r>
            <w:r w:rsidRPr="00300B97">
              <w:rPr>
                <w:rFonts w:ascii="Arial" w:eastAsia="Times New Roman" w:hAnsi="Arial" w:cs="Arial"/>
                <w:bCs/>
                <w:sz w:val="24"/>
                <w:szCs w:val="24"/>
                <w:lang w:eastAsia="en-GB"/>
              </w:rPr>
              <w:t>please</w:t>
            </w:r>
            <w:r w:rsidRPr="00300B97">
              <w:rPr>
                <w:rFonts w:ascii="Arial" w:eastAsia="Times New Roman" w:hAnsi="Arial" w:cs="Arial"/>
                <w:sz w:val="24"/>
                <w:szCs w:val="24"/>
                <w:lang w:eastAsia="en-GB"/>
              </w:rPr>
              <w:t xml:space="preserve"> explain why this particular provision is necessary?</w:t>
            </w:r>
          </w:p>
          <w:p w14:paraId="3FC4CB4C" w14:textId="77777777" w:rsidR="00C61D8A" w:rsidRPr="00300B97" w:rsidRDefault="00C61D8A" w:rsidP="00C61D8A">
            <w:pPr>
              <w:spacing w:before="0" w:after="0"/>
              <w:contextualSpacing/>
              <w:rPr>
                <w:rFonts w:ascii="Arial" w:eastAsia="Times New Roman" w:hAnsi="Arial" w:cs="Arial"/>
                <w:sz w:val="24"/>
                <w:szCs w:val="24"/>
                <w:lang w:eastAsia="en-GB"/>
              </w:rPr>
            </w:pPr>
          </w:p>
          <w:p w14:paraId="59595724" w14:textId="6A12FD28"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The response should </w:t>
            </w:r>
            <w:r w:rsidRPr="00300B97">
              <w:rPr>
                <w:rFonts w:ascii="Arial" w:eastAsia="Times New Roman" w:hAnsi="Arial" w:cs="Arial"/>
                <w:bCs/>
                <w:sz w:val="24"/>
                <w:szCs w:val="24"/>
                <w:lang w:eastAsia="en-GB"/>
              </w:rPr>
              <w:t>not</w:t>
            </w:r>
            <w:r w:rsidRPr="00300B97">
              <w:rPr>
                <w:rFonts w:ascii="Arial" w:eastAsia="Times New Roman" w:hAnsi="Arial" w:cs="Arial"/>
                <w:sz w:val="24"/>
                <w:szCs w:val="24"/>
                <w:lang w:eastAsia="en-GB"/>
              </w:rPr>
              <w:t xml:space="preserve"> just cite ‘precedent’ but should fully set out the Applicant’s case. It may be useful to set out a scenario where, without the benefit of the provision, there would be difficulties in implementation were the DCO to be granted.</w:t>
            </w:r>
          </w:p>
        </w:tc>
      </w:tr>
      <w:tr w:rsidR="00C61D8A" w:rsidRPr="00300B97" w14:paraId="4E6C36C0" w14:textId="77777777" w:rsidTr="00F50C8D">
        <w:tc>
          <w:tcPr>
            <w:tcW w:w="1809" w:type="dxa"/>
            <w:tcBorders>
              <w:top w:val="single" w:sz="4" w:space="0" w:color="auto"/>
              <w:left w:val="single" w:sz="4" w:space="0" w:color="auto"/>
              <w:bottom w:val="single" w:sz="4" w:space="0" w:color="auto"/>
              <w:right w:val="single" w:sz="4" w:space="0" w:color="auto"/>
            </w:tcBorders>
          </w:tcPr>
          <w:p w14:paraId="238AB098" w14:textId="17CE1FB3"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3.6.2</w:t>
            </w:r>
          </w:p>
        </w:tc>
        <w:tc>
          <w:tcPr>
            <w:tcW w:w="2835" w:type="dxa"/>
            <w:tcBorders>
              <w:top w:val="single" w:sz="4" w:space="0" w:color="auto"/>
              <w:left w:val="single" w:sz="4" w:space="0" w:color="auto"/>
              <w:bottom w:val="single" w:sz="4" w:space="0" w:color="auto"/>
              <w:right w:val="single" w:sz="4" w:space="0" w:color="auto"/>
            </w:tcBorders>
          </w:tcPr>
          <w:p w14:paraId="1AA57DCE" w14:textId="5A6D48BE"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7B25BC5C"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Article 10 – Consent in transfer benefit of Order</w:t>
            </w:r>
          </w:p>
          <w:p w14:paraId="59D7FF5B" w14:textId="4CA529B2"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Could the Applicant please </w:t>
            </w:r>
            <w:r w:rsidRPr="00300B97">
              <w:rPr>
                <w:rFonts w:ascii="Arial" w:eastAsia="Times New Roman" w:hAnsi="Arial" w:cs="Arial"/>
                <w:bCs/>
                <w:sz w:val="24"/>
                <w:szCs w:val="24"/>
                <w:lang w:eastAsia="en-GB"/>
              </w:rPr>
              <w:t>respond</w:t>
            </w:r>
            <w:r w:rsidRPr="00300B97">
              <w:rPr>
                <w:rFonts w:ascii="Arial" w:eastAsia="Times New Roman" w:hAnsi="Arial" w:cs="Arial"/>
                <w:sz w:val="24"/>
                <w:szCs w:val="24"/>
                <w:lang w:eastAsia="en-GB"/>
              </w:rPr>
              <w:t xml:space="preserve"> to the </w:t>
            </w:r>
            <w:proofErr w:type="spellStart"/>
            <w:r w:rsidRPr="00300B97">
              <w:rPr>
                <w:rFonts w:ascii="Arial" w:eastAsia="Times New Roman" w:hAnsi="Arial" w:cs="Arial"/>
                <w:sz w:val="24"/>
                <w:szCs w:val="24"/>
                <w:lang w:eastAsia="en-GB"/>
              </w:rPr>
              <w:t>SoS’s</w:t>
            </w:r>
            <w:proofErr w:type="spellEnd"/>
            <w:r w:rsidRPr="00300B97">
              <w:rPr>
                <w:rFonts w:ascii="Arial" w:eastAsia="Times New Roman" w:hAnsi="Arial" w:cs="Arial"/>
                <w:sz w:val="24"/>
                <w:szCs w:val="24"/>
                <w:lang w:eastAsia="en-GB"/>
              </w:rPr>
              <w:t xml:space="preserve"> decision in </w:t>
            </w:r>
            <w:hyperlink r:id="rId18" w:history="1">
              <w:r w:rsidRPr="00300B97">
                <w:rPr>
                  <w:rStyle w:val="Hyperlink"/>
                  <w:rFonts w:ascii="Arial" w:eastAsia="Times New Roman" w:hAnsi="Arial" w:cs="Arial"/>
                  <w:sz w:val="24"/>
                  <w:szCs w:val="24"/>
                  <w:lang w:eastAsia="en-GB"/>
                </w:rPr>
                <w:t>the M25 Junction 28 Improvement Project</w:t>
              </w:r>
            </w:hyperlink>
            <w:r w:rsidRPr="00300B97">
              <w:rPr>
                <w:rFonts w:ascii="Arial" w:eastAsia="Times New Roman" w:hAnsi="Arial" w:cs="Arial"/>
                <w:sz w:val="24"/>
                <w:szCs w:val="24"/>
                <w:lang w:eastAsia="en-GB"/>
              </w:rPr>
              <w:t xml:space="preserve"> to add a provision (in that case as Article 9(4)) to make it explicit </w:t>
            </w:r>
            <w:r w:rsidRPr="00300B97">
              <w:rPr>
                <w:rFonts w:ascii="Arial" w:eastAsia="Times New Roman" w:hAnsi="Arial" w:cs="Arial"/>
                <w:sz w:val="24"/>
                <w:szCs w:val="24"/>
                <w:lang w:eastAsia="en-GB"/>
              </w:rPr>
              <w:lastRenderedPageBreak/>
              <w:t>that the undertaker alone is liable for any compensation payable pursuant to this provision.</w:t>
            </w:r>
          </w:p>
        </w:tc>
      </w:tr>
      <w:tr w:rsidR="00C61D8A" w:rsidRPr="00300B97" w14:paraId="18FC9D5A" w14:textId="77777777" w:rsidTr="00F50C8D">
        <w:tc>
          <w:tcPr>
            <w:tcW w:w="1809" w:type="dxa"/>
            <w:tcBorders>
              <w:top w:val="single" w:sz="4" w:space="0" w:color="auto"/>
              <w:left w:val="single" w:sz="4" w:space="0" w:color="auto"/>
              <w:bottom w:val="single" w:sz="4" w:space="0" w:color="auto"/>
              <w:right w:val="single" w:sz="4" w:space="0" w:color="auto"/>
            </w:tcBorders>
          </w:tcPr>
          <w:p w14:paraId="217E2D73" w14:textId="273AFE0D"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lastRenderedPageBreak/>
              <w:t>3.6.3</w:t>
            </w:r>
          </w:p>
        </w:tc>
        <w:tc>
          <w:tcPr>
            <w:tcW w:w="2835" w:type="dxa"/>
            <w:tcBorders>
              <w:top w:val="single" w:sz="4" w:space="0" w:color="auto"/>
              <w:left w:val="single" w:sz="4" w:space="0" w:color="auto"/>
              <w:bottom w:val="single" w:sz="4" w:space="0" w:color="auto"/>
              <w:right w:val="single" w:sz="4" w:space="0" w:color="auto"/>
            </w:tcBorders>
          </w:tcPr>
          <w:p w14:paraId="00A247F5" w14:textId="3C564B6E"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1C279B02"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Article 11 – Application of the 1991 Act</w:t>
            </w:r>
          </w:p>
          <w:p w14:paraId="6CAF37CD" w14:textId="1E728D61"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Could the Applicant please </w:t>
            </w:r>
            <w:r w:rsidRPr="00300B97">
              <w:rPr>
                <w:rFonts w:ascii="Arial" w:eastAsia="Times New Roman" w:hAnsi="Arial" w:cs="Arial"/>
                <w:bCs/>
                <w:sz w:val="24"/>
                <w:szCs w:val="24"/>
                <w:lang w:eastAsia="en-GB"/>
              </w:rPr>
              <w:t>respond</w:t>
            </w:r>
            <w:r w:rsidRPr="00300B97">
              <w:rPr>
                <w:rFonts w:ascii="Arial" w:eastAsia="Times New Roman" w:hAnsi="Arial" w:cs="Arial"/>
                <w:sz w:val="24"/>
                <w:szCs w:val="24"/>
                <w:lang w:eastAsia="en-GB"/>
              </w:rPr>
              <w:t xml:space="preserve"> to the </w:t>
            </w:r>
            <w:proofErr w:type="spellStart"/>
            <w:r w:rsidRPr="00300B97">
              <w:rPr>
                <w:rFonts w:ascii="Arial" w:eastAsia="Times New Roman" w:hAnsi="Arial" w:cs="Arial"/>
                <w:sz w:val="24"/>
                <w:szCs w:val="24"/>
                <w:lang w:eastAsia="en-GB"/>
              </w:rPr>
              <w:t>SoS’s</w:t>
            </w:r>
            <w:proofErr w:type="spellEnd"/>
            <w:r w:rsidRPr="00300B97">
              <w:rPr>
                <w:rFonts w:ascii="Arial" w:eastAsia="Times New Roman" w:hAnsi="Arial" w:cs="Arial"/>
                <w:sz w:val="24"/>
                <w:szCs w:val="24"/>
                <w:lang w:eastAsia="en-GB"/>
              </w:rPr>
              <w:t xml:space="preserve"> decision in </w:t>
            </w:r>
            <w:hyperlink r:id="rId19" w:history="1">
              <w:r w:rsidRPr="00300B97">
                <w:rPr>
                  <w:rStyle w:val="Hyperlink"/>
                  <w:rFonts w:ascii="Arial" w:eastAsia="Times New Roman" w:hAnsi="Arial" w:cs="Arial"/>
                  <w:sz w:val="24"/>
                  <w:szCs w:val="24"/>
                  <w:lang w:eastAsia="en-GB"/>
                </w:rPr>
                <w:t>the M25 Junction 28 Improvement Project</w:t>
              </w:r>
            </w:hyperlink>
            <w:r w:rsidRPr="00300B97">
              <w:rPr>
                <w:rFonts w:ascii="Arial" w:eastAsia="Times New Roman" w:hAnsi="Arial" w:cs="Arial"/>
                <w:sz w:val="24"/>
                <w:szCs w:val="24"/>
                <w:lang w:eastAsia="en-GB"/>
              </w:rPr>
              <w:t xml:space="preserve"> to amend the provision (in that case as Article 10) to make it consistent with other highway DCOs. The ExA notes that the provision in the dDCO in this case is somewhat different to that made.</w:t>
            </w:r>
          </w:p>
        </w:tc>
      </w:tr>
      <w:tr w:rsidR="00C61D8A" w:rsidRPr="00300B97" w14:paraId="0DF2791F" w14:textId="77777777" w:rsidTr="005B6B91">
        <w:trPr>
          <w:trHeight w:val="90"/>
        </w:trPr>
        <w:tc>
          <w:tcPr>
            <w:tcW w:w="1809" w:type="dxa"/>
            <w:tcBorders>
              <w:top w:val="single" w:sz="4" w:space="0" w:color="auto"/>
              <w:left w:val="single" w:sz="4" w:space="0" w:color="auto"/>
              <w:bottom w:val="single" w:sz="4" w:space="0" w:color="auto"/>
              <w:right w:val="single" w:sz="4" w:space="0" w:color="auto"/>
            </w:tcBorders>
          </w:tcPr>
          <w:p w14:paraId="110E6216" w14:textId="5055BE0C"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3.6.4</w:t>
            </w:r>
          </w:p>
        </w:tc>
        <w:tc>
          <w:tcPr>
            <w:tcW w:w="2835" w:type="dxa"/>
            <w:tcBorders>
              <w:top w:val="single" w:sz="4" w:space="0" w:color="auto"/>
              <w:left w:val="single" w:sz="4" w:space="0" w:color="auto"/>
              <w:bottom w:val="single" w:sz="4" w:space="0" w:color="auto"/>
              <w:right w:val="single" w:sz="4" w:space="0" w:color="auto"/>
            </w:tcBorders>
          </w:tcPr>
          <w:p w14:paraId="6FD59771" w14:textId="28F9AC61"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0322C57F"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Article 16 – Temporary alteration, diversion prohibition and restriction of use of streets</w:t>
            </w:r>
          </w:p>
          <w:p w14:paraId="701FC5C1" w14:textId="19BCAA73"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Could the Applicant please </w:t>
            </w:r>
            <w:r w:rsidRPr="00300B97">
              <w:rPr>
                <w:rFonts w:ascii="Arial" w:eastAsia="Times New Roman" w:hAnsi="Arial" w:cs="Arial"/>
                <w:bCs/>
                <w:sz w:val="24"/>
                <w:szCs w:val="24"/>
                <w:lang w:eastAsia="en-GB"/>
              </w:rPr>
              <w:t>respond</w:t>
            </w:r>
            <w:r w:rsidRPr="00300B97">
              <w:rPr>
                <w:rFonts w:ascii="Arial" w:eastAsia="Times New Roman" w:hAnsi="Arial" w:cs="Arial"/>
                <w:sz w:val="24"/>
                <w:szCs w:val="24"/>
                <w:lang w:eastAsia="en-GB"/>
              </w:rPr>
              <w:t xml:space="preserve"> to the </w:t>
            </w:r>
            <w:proofErr w:type="spellStart"/>
            <w:r w:rsidRPr="00300B97">
              <w:rPr>
                <w:rFonts w:ascii="Arial" w:eastAsia="Times New Roman" w:hAnsi="Arial" w:cs="Arial"/>
                <w:sz w:val="24"/>
                <w:szCs w:val="24"/>
                <w:lang w:eastAsia="en-GB"/>
              </w:rPr>
              <w:t>SoS’s</w:t>
            </w:r>
            <w:proofErr w:type="spellEnd"/>
            <w:r w:rsidRPr="00300B97">
              <w:rPr>
                <w:rFonts w:ascii="Arial" w:eastAsia="Times New Roman" w:hAnsi="Arial" w:cs="Arial"/>
                <w:sz w:val="24"/>
                <w:szCs w:val="24"/>
                <w:lang w:eastAsia="en-GB"/>
              </w:rPr>
              <w:t xml:space="preserve"> decision in </w:t>
            </w:r>
            <w:hyperlink r:id="rId20" w:history="1">
              <w:r w:rsidRPr="00300B97">
                <w:rPr>
                  <w:rStyle w:val="Hyperlink"/>
                  <w:rFonts w:ascii="Arial" w:eastAsia="Times New Roman" w:hAnsi="Arial" w:cs="Arial"/>
                  <w:sz w:val="24"/>
                  <w:szCs w:val="24"/>
                  <w:lang w:eastAsia="en-GB"/>
                </w:rPr>
                <w:t>the M25 Junction 28 Improvement Project</w:t>
              </w:r>
            </w:hyperlink>
            <w:r w:rsidRPr="00300B97">
              <w:rPr>
                <w:rFonts w:ascii="Arial" w:eastAsia="Times New Roman" w:hAnsi="Arial" w:cs="Arial"/>
                <w:sz w:val="24"/>
                <w:szCs w:val="24"/>
                <w:lang w:eastAsia="en-GB"/>
              </w:rPr>
              <w:t xml:space="preserve"> to amend the provision (in that case as Article 13) to make it consistent with other highway DCOs. The ExA notes that the provision in the dDCO in this case is somewhat different to that made and a different title has been used.</w:t>
            </w:r>
          </w:p>
        </w:tc>
      </w:tr>
      <w:tr w:rsidR="00C61D8A" w:rsidRPr="00300B97" w14:paraId="57C0BB56" w14:textId="77777777" w:rsidTr="00F50C8D">
        <w:tc>
          <w:tcPr>
            <w:tcW w:w="1809" w:type="dxa"/>
            <w:tcBorders>
              <w:top w:val="single" w:sz="4" w:space="0" w:color="auto"/>
              <w:left w:val="single" w:sz="4" w:space="0" w:color="auto"/>
              <w:bottom w:val="single" w:sz="4" w:space="0" w:color="auto"/>
              <w:right w:val="single" w:sz="4" w:space="0" w:color="auto"/>
            </w:tcBorders>
          </w:tcPr>
          <w:p w14:paraId="31D0C0C4" w14:textId="60399333"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3.6.5</w:t>
            </w:r>
          </w:p>
        </w:tc>
        <w:tc>
          <w:tcPr>
            <w:tcW w:w="2835" w:type="dxa"/>
            <w:tcBorders>
              <w:top w:val="single" w:sz="4" w:space="0" w:color="auto"/>
              <w:left w:val="single" w:sz="4" w:space="0" w:color="auto"/>
              <w:bottom w:val="single" w:sz="4" w:space="0" w:color="auto"/>
              <w:right w:val="single" w:sz="4" w:space="0" w:color="auto"/>
            </w:tcBorders>
          </w:tcPr>
          <w:p w14:paraId="3EFC0014" w14:textId="77777777"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p w14:paraId="6DCAA1D5" w14:textId="77777777"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PCC</w:t>
            </w:r>
          </w:p>
          <w:p w14:paraId="3C2CCC21" w14:textId="77777777"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EA</w:t>
            </w:r>
          </w:p>
          <w:p w14:paraId="307FF66C" w14:textId="24560F53"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Parish Councils</w:t>
            </w:r>
          </w:p>
        </w:tc>
        <w:tc>
          <w:tcPr>
            <w:tcW w:w="9639" w:type="dxa"/>
            <w:tcBorders>
              <w:top w:val="single" w:sz="4" w:space="0" w:color="auto"/>
              <w:left w:val="single" w:sz="4" w:space="0" w:color="auto"/>
              <w:bottom w:val="single" w:sz="4" w:space="0" w:color="auto"/>
              <w:right w:val="single" w:sz="4" w:space="0" w:color="auto"/>
            </w:tcBorders>
          </w:tcPr>
          <w:p w14:paraId="7C3ACB1A"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Time limits for deemed consent</w:t>
            </w:r>
          </w:p>
          <w:p w14:paraId="06F8637B" w14:textId="59B1ADCF"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In the </w:t>
            </w:r>
            <w:proofErr w:type="spellStart"/>
            <w:r w:rsidRPr="00300B97">
              <w:rPr>
                <w:rFonts w:ascii="Arial" w:eastAsia="Times New Roman" w:hAnsi="Arial" w:cs="Arial"/>
                <w:sz w:val="24"/>
                <w:szCs w:val="24"/>
                <w:lang w:eastAsia="en-GB"/>
              </w:rPr>
              <w:t>SoS’s</w:t>
            </w:r>
            <w:proofErr w:type="spellEnd"/>
            <w:r w:rsidRPr="00300B97">
              <w:rPr>
                <w:rFonts w:ascii="Arial" w:eastAsia="Times New Roman" w:hAnsi="Arial" w:cs="Arial"/>
                <w:sz w:val="24"/>
                <w:szCs w:val="24"/>
                <w:lang w:eastAsia="en-GB"/>
              </w:rPr>
              <w:t xml:space="preserve"> decision on the </w:t>
            </w:r>
            <w:hyperlink r:id="rId21" w:history="1">
              <w:r w:rsidRPr="00300B97">
                <w:rPr>
                  <w:rStyle w:val="Hyperlink"/>
                  <w:rFonts w:ascii="Arial" w:eastAsia="Times New Roman" w:hAnsi="Arial" w:cs="Arial"/>
                  <w:sz w:val="24"/>
                  <w:szCs w:val="24"/>
                  <w:lang w:eastAsia="en-GB"/>
                </w:rPr>
                <w:t>M25 Junction 28 Improvement Project</w:t>
              </w:r>
            </w:hyperlink>
            <w:r w:rsidRPr="00300B97">
              <w:rPr>
                <w:rFonts w:ascii="Arial" w:eastAsia="Times New Roman" w:hAnsi="Arial" w:cs="Arial"/>
                <w:sz w:val="24"/>
                <w:szCs w:val="24"/>
                <w:lang w:eastAsia="en-GB"/>
              </w:rPr>
              <w:t xml:space="preserve"> he has extended both </w:t>
            </w:r>
            <w:r w:rsidRPr="00300B97">
              <w:rPr>
                <w:rFonts w:ascii="Arial" w:eastAsia="Times New Roman" w:hAnsi="Arial" w:cs="Arial"/>
                <w:bCs/>
                <w:sz w:val="24"/>
                <w:szCs w:val="24"/>
                <w:lang w:eastAsia="en-GB"/>
              </w:rPr>
              <w:t>the</w:t>
            </w:r>
            <w:r w:rsidRPr="00300B97">
              <w:rPr>
                <w:rFonts w:ascii="Arial" w:eastAsia="Times New Roman" w:hAnsi="Arial" w:cs="Arial"/>
                <w:sz w:val="24"/>
                <w:szCs w:val="24"/>
                <w:lang w:eastAsia="en-GB"/>
              </w:rPr>
              <w:t xml:space="preserve"> period under which, in the absence of a response, a deemed consent is granted, and the period of consultation pursuant to Requirements. </w:t>
            </w:r>
          </w:p>
          <w:p w14:paraId="4D233934" w14:textId="77777777" w:rsidR="00C61D8A" w:rsidRPr="00300B97" w:rsidRDefault="00C61D8A" w:rsidP="00C61D8A">
            <w:pPr>
              <w:spacing w:before="0" w:after="0"/>
              <w:contextualSpacing/>
              <w:rPr>
                <w:rFonts w:ascii="Arial" w:eastAsia="Times New Roman" w:hAnsi="Arial" w:cs="Arial"/>
                <w:sz w:val="24"/>
                <w:szCs w:val="24"/>
                <w:lang w:eastAsia="en-GB"/>
              </w:rPr>
            </w:pPr>
          </w:p>
          <w:p w14:paraId="794EE2DF" w14:textId="3868DCB1"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In this dDCO this relates to what would be Articles 16(6) (Temporary alteration, diversion prohibition and restriction of use of streets), 20(11) (Traffic Regulation) and 21(8) (Discharge of water) and Schedule 2, Regulation 18 (Details of Consultation).</w:t>
            </w:r>
          </w:p>
          <w:p w14:paraId="760B1E6A" w14:textId="77777777" w:rsidR="00C61D8A" w:rsidRPr="00300B97" w:rsidRDefault="00C61D8A" w:rsidP="00C61D8A">
            <w:pPr>
              <w:spacing w:before="0" w:after="0"/>
              <w:contextualSpacing/>
              <w:rPr>
                <w:rFonts w:ascii="Arial" w:eastAsia="Times New Roman" w:hAnsi="Arial" w:cs="Arial"/>
                <w:sz w:val="24"/>
                <w:szCs w:val="24"/>
                <w:lang w:eastAsia="en-GB"/>
              </w:rPr>
            </w:pPr>
          </w:p>
          <w:p w14:paraId="381D5132" w14:textId="262DE38F"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Could the Applicant, PCC, the EA and Parish Councils please give their response</w:t>
            </w:r>
            <w:r w:rsidR="00BF2A09" w:rsidRPr="00300B97">
              <w:rPr>
                <w:rFonts w:ascii="Arial" w:eastAsia="Times New Roman" w:hAnsi="Arial" w:cs="Arial"/>
                <w:sz w:val="24"/>
                <w:szCs w:val="24"/>
                <w:lang w:eastAsia="en-GB"/>
              </w:rPr>
              <w:t>s</w:t>
            </w:r>
            <w:r w:rsidRPr="00300B97">
              <w:rPr>
                <w:rFonts w:ascii="Arial" w:eastAsia="Times New Roman" w:hAnsi="Arial" w:cs="Arial"/>
                <w:sz w:val="24"/>
                <w:szCs w:val="24"/>
                <w:lang w:eastAsia="en-GB"/>
              </w:rPr>
              <w:t xml:space="preserve"> to the </w:t>
            </w:r>
            <w:proofErr w:type="spellStart"/>
            <w:r w:rsidRPr="00300B97">
              <w:rPr>
                <w:rFonts w:ascii="Arial" w:eastAsia="Times New Roman" w:hAnsi="Arial" w:cs="Arial"/>
                <w:sz w:val="24"/>
                <w:szCs w:val="24"/>
                <w:lang w:eastAsia="en-GB"/>
              </w:rPr>
              <w:t>S</w:t>
            </w:r>
            <w:r w:rsidR="000F5CE6">
              <w:rPr>
                <w:rFonts w:ascii="Arial" w:eastAsia="Times New Roman" w:hAnsi="Arial" w:cs="Arial"/>
                <w:sz w:val="24"/>
                <w:szCs w:val="24"/>
                <w:lang w:eastAsia="en-GB"/>
              </w:rPr>
              <w:t>oS’s</w:t>
            </w:r>
            <w:r w:rsidRPr="00300B97">
              <w:rPr>
                <w:rFonts w:ascii="Arial" w:eastAsia="Times New Roman" w:hAnsi="Arial" w:cs="Arial"/>
                <w:sz w:val="24"/>
                <w:szCs w:val="24"/>
                <w:lang w:eastAsia="en-GB"/>
              </w:rPr>
              <w:t>’s</w:t>
            </w:r>
            <w:proofErr w:type="spellEnd"/>
            <w:r w:rsidRPr="00300B97">
              <w:rPr>
                <w:rFonts w:ascii="Arial" w:eastAsia="Times New Roman" w:hAnsi="Arial" w:cs="Arial"/>
                <w:sz w:val="24"/>
                <w:szCs w:val="24"/>
                <w:lang w:eastAsia="en-GB"/>
              </w:rPr>
              <w:t xml:space="preserve"> decision.</w:t>
            </w:r>
          </w:p>
        </w:tc>
      </w:tr>
      <w:tr w:rsidR="00C61D8A" w:rsidRPr="00300B97" w14:paraId="2BE4E905" w14:textId="77777777" w:rsidTr="00F50C8D">
        <w:tc>
          <w:tcPr>
            <w:tcW w:w="1809" w:type="dxa"/>
            <w:tcBorders>
              <w:top w:val="single" w:sz="4" w:space="0" w:color="auto"/>
              <w:left w:val="single" w:sz="4" w:space="0" w:color="auto"/>
              <w:bottom w:val="single" w:sz="4" w:space="0" w:color="auto"/>
              <w:right w:val="single" w:sz="4" w:space="0" w:color="auto"/>
            </w:tcBorders>
          </w:tcPr>
          <w:p w14:paraId="10AA0496" w14:textId="242BF1DB"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3.6.6</w:t>
            </w:r>
          </w:p>
        </w:tc>
        <w:tc>
          <w:tcPr>
            <w:tcW w:w="2835" w:type="dxa"/>
            <w:tcBorders>
              <w:top w:val="single" w:sz="4" w:space="0" w:color="auto"/>
              <w:left w:val="single" w:sz="4" w:space="0" w:color="auto"/>
              <w:bottom w:val="single" w:sz="4" w:space="0" w:color="auto"/>
              <w:right w:val="single" w:sz="4" w:space="0" w:color="auto"/>
            </w:tcBorders>
          </w:tcPr>
          <w:p w14:paraId="2E4C0030" w14:textId="77777777"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p w14:paraId="657EA5CA" w14:textId="5D96F807"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EA</w:t>
            </w:r>
          </w:p>
        </w:tc>
        <w:tc>
          <w:tcPr>
            <w:tcW w:w="9639" w:type="dxa"/>
            <w:tcBorders>
              <w:top w:val="single" w:sz="4" w:space="0" w:color="auto"/>
              <w:left w:val="single" w:sz="4" w:space="0" w:color="auto"/>
              <w:bottom w:val="single" w:sz="4" w:space="0" w:color="auto"/>
              <w:right w:val="single" w:sz="4" w:space="0" w:color="auto"/>
            </w:tcBorders>
          </w:tcPr>
          <w:p w14:paraId="3678F90B" w14:textId="5BD8F459"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Potential Requirement re</w:t>
            </w:r>
            <w:r w:rsidR="0042513C" w:rsidRPr="00300B97">
              <w:rPr>
                <w:rFonts w:ascii="Arial" w:eastAsia="Times New Roman" w:hAnsi="Arial" w:cs="Arial"/>
                <w:b/>
                <w:bCs/>
                <w:sz w:val="24"/>
                <w:szCs w:val="24"/>
                <w:lang w:eastAsia="en-GB"/>
              </w:rPr>
              <w:t>garding</w:t>
            </w:r>
            <w:r w:rsidRPr="00300B97">
              <w:rPr>
                <w:rFonts w:ascii="Arial" w:eastAsia="Times New Roman" w:hAnsi="Arial" w:cs="Arial"/>
                <w:b/>
                <w:bCs/>
                <w:sz w:val="24"/>
                <w:szCs w:val="24"/>
                <w:lang w:eastAsia="en-GB"/>
              </w:rPr>
              <w:t xml:space="preserve"> Flood</w:t>
            </w:r>
            <w:r w:rsidR="00AE7E97" w:rsidRPr="00300B97">
              <w:rPr>
                <w:rFonts w:ascii="Arial" w:eastAsia="Times New Roman" w:hAnsi="Arial" w:cs="Arial"/>
                <w:b/>
                <w:bCs/>
                <w:sz w:val="24"/>
                <w:szCs w:val="24"/>
                <w:lang w:eastAsia="en-GB"/>
              </w:rPr>
              <w:t xml:space="preserve"> Risk</w:t>
            </w:r>
          </w:p>
          <w:p w14:paraId="46AB122B" w14:textId="016F81B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sz w:val="24"/>
                <w:szCs w:val="24"/>
                <w:lang w:eastAsia="en-GB"/>
              </w:rPr>
              <w:t>Could the Applicant and EA provide their latest positions in respect of the need for an additional requirement relating to flood risk?</w:t>
            </w:r>
          </w:p>
        </w:tc>
      </w:tr>
      <w:tr w:rsidR="00C61D8A" w:rsidRPr="00300B97" w14:paraId="257DDAFD" w14:textId="77777777" w:rsidTr="00F50C8D">
        <w:tc>
          <w:tcPr>
            <w:tcW w:w="1809" w:type="dxa"/>
            <w:tcBorders>
              <w:top w:val="single" w:sz="4" w:space="0" w:color="auto"/>
              <w:left w:val="single" w:sz="4" w:space="0" w:color="auto"/>
              <w:bottom w:val="single" w:sz="4" w:space="0" w:color="auto"/>
              <w:right w:val="single" w:sz="4" w:space="0" w:color="auto"/>
            </w:tcBorders>
          </w:tcPr>
          <w:p w14:paraId="7768599B" w14:textId="44EA1196"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lastRenderedPageBreak/>
              <w:t>3.6.7</w:t>
            </w:r>
          </w:p>
        </w:tc>
        <w:tc>
          <w:tcPr>
            <w:tcW w:w="2835" w:type="dxa"/>
            <w:tcBorders>
              <w:top w:val="single" w:sz="4" w:space="0" w:color="auto"/>
              <w:left w:val="single" w:sz="4" w:space="0" w:color="auto"/>
              <w:bottom w:val="single" w:sz="4" w:space="0" w:color="auto"/>
              <w:right w:val="single" w:sz="4" w:space="0" w:color="auto"/>
            </w:tcBorders>
          </w:tcPr>
          <w:p w14:paraId="79428E9C" w14:textId="2DC8D285"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7CA039DF"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Compulsory Acquisition Provisions</w:t>
            </w:r>
          </w:p>
          <w:p w14:paraId="0965E7E4" w14:textId="7E4D9A28"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Could the Applicant respond to the </w:t>
            </w:r>
            <w:proofErr w:type="spellStart"/>
            <w:r w:rsidRPr="00300B97">
              <w:rPr>
                <w:rFonts w:ascii="Arial" w:eastAsia="Times New Roman" w:hAnsi="Arial" w:cs="Arial"/>
                <w:sz w:val="24"/>
                <w:szCs w:val="24"/>
                <w:lang w:eastAsia="en-GB"/>
              </w:rPr>
              <w:t>SoS’s</w:t>
            </w:r>
            <w:proofErr w:type="spellEnd"/>
            <w:r w:rsidRPr="00300B97">
              <w:rPr>
                <w:rFonts w:ascii="Arial" w:eastAsia="Times New Roman" w:hAnsi="Arial" w:cs="Arial"/>
                <w:sz w:val="24"/>
                <w:szCs w:val="24"/>
                <w:lang w:eastAsia="en-GB"/>
              </w:rPr>
              <w:t xml:space="preserve"> changes in the made Development Consent </w:t>
            </w:r>
            <w:r w:rsidRPr="00300B97">
              <w:rPr>
                <w:rFonts w:ascii="Arial" w:eastAsia="Times New Roman" w:hAnsi="Arial" w:cs="Arial"/>
                <w:bCs/>
                <w:sz w:val="24"/>
                <w:szCs w:val="24"/>
                <w:lang w:eastAsia="en-GB"/>
              </w:rPr>
              <w:t>Order</w:t>
            </w:r>
            <w:r w:rsidRPr="00300B97">
              <w:rPr>
                <w:rFonts w:ascii="Arial" w:eastAsia="Times New Roman" w:hAnsi="Arial" w:cs="Arial"/>
                <w:sz w:val="24"/>
                <w:szCs w:val="24"/>
                <w:lang w:eastAsia="en-GB"/>
              </w:rPr>
              <w:t xml:space="preserve"> for </w:t>
            </w:r>
            <w:hyperlink r:id="rId22" w:history="1">
              <w:r w:rsidRPr="00300B97">
                <w:rPr>
                  <w:rStyle w:val="Hyperlink"/>
                  <w:rFonts w:ascii="Arial" w:eastAsia="Times New Roman" w:hAnsi="Arial" w:cs="Arial"/>
                  <w:sz w:val="24"/>
                  <w:szCs w:val="24"/>
                  <w:lang w:eastAsia="en-GB"/>
                </w:rPr>
                <w:t xml:space="preserve">the M25 Junction 10/ A3 </w:t>
              </w:r>
              <w:proofErr w:type="spellStart"/>
              <w:r w:rsidRPr="00300B97">
                <w:rPr>
                  <w:rStyle w:val="Hyperlink"/>
                  <w:rFonts w:ascii="Arial" w:eastAsia="Times New Roman" w:hAnsi="Arial" w:cs="Arial"/>
                  <w:sz w:val="24"/>
                  <w:szCs w:val="24"/>
                  <w:lang w:eastAsia="en-GB"/>
                </w:rPr>
                <w:t>Wisley</w:t>
              </w:r>
              <w:proofErr w:type="spellEnd"/>
              <w:r w:rsidRPr="00300B97">
                <w:rPr>
                  <w:rStyle w:val="Hyperlink"/>
                  <w:rFonts w:ascii="Arial" w:eastAsia="Times New Roman" w:hAnsi="Arial" w:cs="Arial"/>
                  <w:sz w:val="24"/>
                  <w:szCs w:val="24"/>
                  <w:lang w:eastAsia="en-GB"/>
                </w:rPr>
                <w:t xml:space="preserve"> Interchange Project</w:t>
              </w:r>
            </w:hyperlink>
            <w:r w:rsidRPr="00300B97">
              <w:rPr>
                <w:rFonts w:ascii="Arial" w:eastAsia="Times New Roman" w:hAnsi="Arial" w:cs="Arial"/>
                <w:sz w:val="24"/>
                <w:szCs w:val="24"/>
                <w:lang w:eastAsia="en-GB"/>
              </w:rPr>
              <w:t xml:space="preserve"> and the </w:t>
            </w:r>
            <w:hyperlink r:id="rId23" w:history="1">
              <w:r w:rsidRPr="00300B97">
                <w:rPr>
                  <w:rStyle w:val="Hyperlink"/>
                  <w:rFonts w:ascii="Arial" w:eastAsia="Times New Roman" w:hAnsi="Arial" w:cs="Arial"/>
                  <w:sz w:val="24"/>
                  <w:szCs w:val="24"/>
                  <w:lang w:eastAsia="en-GB"/>
                </w:rPr>
                <w:t>M25 Junction 28 Improvement Project</w:t>
              </w:r>
            </w:hyperlink>
            <w:r w:rsidRPr="00300B97">
              <w:rPr>
                <w:rFonts w:ascii="Arial" w:eastAsia="Times New Roman" w:hAnsi="Arial" w:cs="Arial"/>
                <w:sz w:val="24"/>
                <w:szCs w:val="24"/>
                <w:lang w:eastAsia="en-GB"/>
              </w:rPr>
              <w:t xml:space="preserve"> in respect of the application of the Compulsory Purchase (Vesting Declarations) Act 1981 and the Compulsory Purchase of Land (Vesting Declarations) (England) Regulations 2017. The ExA notes that the provision in the dDCO in this case is somewhat different to that made.</w:t>
            </w:r>
          </w:p>
        </w:tc>
      </w:tr>
      <w:tr w:rsidR="00C61D8A" w:rsidRPr="00300B97" w14:paraId="0984725E" w14:textId="77777777" w:rsidTr="00F50C8D">
        <w:tc>
          <w:tcPr>
            <w:tcW w:w="1809" w:type="dxa"/>
            <w:tcBorders>
              <w:top w:val="single" w:sz="4" w:space="0" w:color="auto"/>
              <w:left w:val="single" w:sz="4" w:space="0" w:color="auto"/>
              <w:bottom w:val="single" w:sz="4" w:space="0" w:color="auto"/>
              <w:right w:val="single" w:sz="4" w:space="0" w:color="auto"/>
            </w:tcBorders>
          </w:tcPr>
          <w:p w14:paraId="5460AA3E" w14:textId="62B175B7"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3.6.8</w:t>
            </w:r>
          </w:p>
        </w:tc>
        <w:tc>
          <w:tcPr>
            <w:tcW w:w="2835" w:type="dxa"/>
            <w:tcBorders>
              <w:top w:val="single" w:sz="4" w:space="0" w:color="auto"/>
              <w:left w:val="single" w:sz="4" w:space="0" w:color="auto"/>
              <w:bottom w:val="single" w:sz="4" w:space="0" w:color="auto"/>
              <w:right w:val="single" w:sz="4" w:space="0" w:color="auto"/>
            </w:tcBorders>
          </w:tcPr>
          <w:p w14:paraId="028F3980" w14:textId="77777777"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p w14:paraId="7ECD1BDC" w14:textId="6E6B5138"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Anglian Water</w:t>
            </w:r>
          </w:p>
        </w:tc>
        <w:tc>
          <w:tcPr>
            <w:tcW w:w="9639" w:type="dxa"/>
            <w:tcBorders>
              <w:top w:val="single" w:sz="4" w:space="0" w:color="auto"/>
              <w:left w:val="single" w:sz="4" w:space="0" w:color="auto"/>
              <w:bottom w:val="single" w:sz="4" w:space="0" w:color="auto"/>
              <w:right w:val="single" w:sz="4" w:space="0" w:color="auto"/>
            </w:tcBorders>
          </w:tcPr>
          <w:p w14:paraId="788A13BA"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Protective provisions</w:t>
            </w:r>
          </w:p>
          <w:p w14:paraId="5AF8C3A4" w14:textId="73640811"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The </w:t>
            </w:r>
            <w:r w:rsidRPr="00300B97">
              <w:rPr>
                <w:rFonts w:ascii="Arial" w:eastAsia="Times New Roman" w:hAnsi="Arial" w:cs="Arial"/>
                <w:bCs/>
                <w:sz w:val="24"/>
                <w:szCs w:val="24"/>
                <w:lang w:eastAsia="en-GB"/>
              </w:rPr>
              <w:t>Applicant</w:t>
            </w:r>
            <w:r w:rsidRPr="00300B97">
              <w:rPr>
                <w:rFonts w:ascii="Arial" w:eastAsia="Times New Roman" w:hAnsi="Arial" w:cs="Arial"/>
                <w:sz w:val="24"/>
                <w:szCs w:val="24"/>
                <w:lang w:eastAsia="en-GB"/>
              </w:rPr>
              <w:t xml:space="preserve"> and Anglian Water are asked for their comments in relation to their respective positions in relation to Protective Provisions in light of the conclusions on similar matters set out in paragraphs 17.5.27 to 17.5.46 of the </w:t>
            </w:r>
            <w:hyperlink r:id="rId24" w:history="1">
              <w:r w:rsidRPr="00300B97">
                <w:rPr>
                  <w:rStyle w:val="Hyperlink"/>
                  <w:rFonts w:ascii="Arial" w:eastAsia="Times New Roman" w:hAnsi="Arial" w:cs="Arial"/>
                  <w:sz w:val="24"/>
                  <w:szCs w:val="24"/>
                  <w:lang w:eastAsia="en-GB"/>
                </w:rPr>
                <w:t>ExA’s Report in relation to the M54/ M6 Link</w:t>
              </w:r>
            </w:hyperlink>
            <w:r w:rsidRPr="00300B97">
              <w:rPr>
                <w:rFonts w:ascii="Arial" w:eastAsia="Times New Roman" w:hAnsi="Arial" w:cs="Arial"/>
                <w:sz w:val="24"/>
                <w:szCs w:val="24"/>
                <w:lang w:eastAsia="en-GB"/>
              </w:rPr>
              <w:t xml:space="preserve">. As these matters were agreed by the parties </w:t>
            </w:r>
            <w:proofErr w:type="gramStart"/>
            <w:r w:rsidRPr="00300B97">
              <w:rPr>
                <w:rFonts w:ascii="Arial" w:eastAsia="Times New Roman" w:hAnsi="Arial" w:cs="Arial"/>
                <w:sz w:val="24"/>
                <w:szCs w:val="24"/>
                <w:lang w:eastAsia="en-GB"/>
              </w:rPr>
              <w:t>subsequent to</w:t>
            </w:r>
            <w:proofErr w:type="gramEnd"/>
            <w:r w:rsidRPr="00300B97">
              <w:rPr>
                <w:rFonts w:ascii="Arial" w:eastAsia="Times New Roman" w:hAnsi="Arial" w:cs="Arial"/>
                <w:sz w:val="24"/>
                <w:szCs w:val="24"/>
                <w:lang w:eastAsia="en-GB"/>
              </w:rPr>
              <w:t xml:space="preserve"> the close of that Examination the SoS did not need to conclude on them.</w:t>
            </w:r>
          </w:p>
          <w:p w14:paraId="1A8CF321" w14:textId="77777777" w:rsidR="00C61D8A" w:rsidRPr="00300B97" w:rsidRDefault="00C61D8A" w:rsidP="00C61D8A">
            <w:pPr>
              <w:spacing w:before="0" w:after="0"/>
              <w:contextualSpacing/>
              <w:rPr>
                <w:rFonts w:ascii="Arial" w:eastAsia="Times New Roman" w:hAnsi="Arial" w:cs="Arial"/>
                <w:sz w:val="24"/>
                <w:szCs w:val="24"/>
                <w:lang w:eastAsia="en-GB"/>
              </w:rPr>
            </w:pPr>
          </w:p>
          <w:p w14:paraId="7BFC5F36" w14:textId="270A0754"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The ExA appreciates that some matters here are different from those in dispute in the M54/ M6 Link Project, but there are similarities. </w:t>
            </w:r>
          </w:p>
          <w:p w14:paraId="1DD44FB2" w14:textId="77777777" w:rsidR="00C61D8A" w:rsidRPr="00300B97" w:rsidRDefault="00C61D8A" w:rsidP="00C61D8A">
            <w:pPr>
              <w:spacing w:before="0" w:after="0"/>
              <w:contextualSpacing/>
              <w:rPr>
                <w:rFonts w:ascii="Arial" w:eastAsia="Times New Roman" w:hAnsi="Arial" w:cs="Arial"/>
                <w:sz w:val="24"/>
                <w:szCs w:val="24"/>
                <w:lang w:eastAsia="en-GB"/>
              </w:rPr>
            </w:pPr>
          </w:p>
          <w:p w14:paraId="23BC4A8B" w14:textId="03A1063D"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 xml:space="preserve">The ExA would particularly like to receive representations on the 7 year 6 months period in </w:t>
            </w:r>
            <w:r w:rsidRPr="00300B97">
              <w:rPr>
                <w:rFonts w:ascii="Arial" w:eastAsia="Times New Roman" w:hAnsi="Arial" w:cs="Arial"/>
                <w:bCs/>
                <w:sz w:val="24"/>
                <w:szCs w:val="24"/>
                <w:lang w:eastAsia="en-GB"/>
              </w:rPr>
              <w:t>relation</w:t>
            </w:r>
            <w:r w:rsidRPr="00300B97">
              <w:rPr>
                <w:rFonts w:ascii="Arial" w:eastAsia="Times New Roman" w:hAnsi="Arial" w:cs="Arial"/>
                <w:sz w:val="24"/>
                <w:szCs w:val="24"/>
                <w:lang w:eastAsia="en-GB"/>
              </w:rPr>
              <w:t xml:space="preserve"> to the financial benefit, given the life-time of water apparatus which can be intimated from the table set out after paragraph 2(g) in the Applicant’s Response to the Anglian </w:t>
            </w:r>
            <w:r w:rsidRPr="00300B97">
              <w:rPr>
                <w:rFonts w:ascii="Arial" w:eastAsia="Times New Roman" w:hAnsi="Arial" w:cs="Arial"/>
                <w:bCs/>
                <w:sz w:val="24"/>
                <w:szCs w:val="24"/>
                <w:lang w:eastAsia="en-GB"/>
              </w:rPr>
              <w:t>Water</w:t>
            </w:r>
            <w:r w:rsidRPr="00300B97">
              <w:rPr>
                <w:rFonts w:ascii="Arial" w:eastAsia="Times New Roman" w:hAnsi="Arial" w:cs="Arial"/>
                <w:sz w:val="24"/>
                <w:szCs w:val="24"/>
                <w:lang w:eastAsia="en-GB"/>
              </w:rPr>
              <w:t xml:space="preserve"> Protective provisions set out in Annex A of the Applicant's Response to the Examining Authority's Further Written Questions (ExQ2) – Annexes [REP5-023].</w:t>
            </w:r>
          </w:p>
        </w:tc>
      </w:tr>
      <w:tr w:rsidR="00C61D8A" w:rsidRPr="00300B97" w14:paraId="22EF4EE1" w14:textId="77777777" w:rsidTr="00F50C8D">
        <w:tc>
          <w:tcPr>
            <w:tcW w:w="1809" w:type="dxa"/>
            <w:tcBorders>
              <w:top w:val="single" w:sz="4" w:space="0" w:color="auto"/>
              <w:left w:val="single" w:sz="4" w:space="0" w:color="auto"/>
              <w:bottom w:val="single" w:sz="4" w:space="0" w:color="auto"/>
              <w:right w:val="single" w:sz="4" w:space="0" w:color="auto"/>
            </w:tcBorders>
          </w:tcPr>
          <w:p w14:paraId="392438A5" w14:textId="35195FD2"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3.6.9</w:t>
            </w:r>
          </w:p>
        </w:tc>
        <w:tc>
          <w:tcPr>
            <w:tcW w:w="2835" w:type="dxa"/>
            <w:tcBorders>
              <w:top w:val="single" w:sz="4" w:space="0" w:color="auto"/>
              <w:left w:val="single" w:sz="4" w:space="0" w:color="auto"/>
              <w:bottom w:val="single" w:sz="4" w:space="0" w:color="auto"/>
              <w:right w:val="single" w:sz="4" w:space="0" w:color="auto"/>
            </w:tcBorders>
          </w:tcPr>
          <w:p w14:paraId="02261637" w14:textId="77777777" w:rsidR="00C61D8A" w:rsidRPr="00300B97" w:rsidRDefault="00C61D8A" w:rsidP="00C61D8A">
            <w:pPr>
              <w:spacing w:before="0" w:after="0"/>
              <w:rPr>
                <w:rFonts w:ascii="Arial" w:eastAsia="Times New Roman" w:hAnsi="Arial" w:cs="Arial"/>
                <w:bCs/>
                <w:iCs/>
                <w:sz w:val="24"/>
                <w:szCs w:val="24"/>
                <w:lang w:eastAsia="en-GB"/>
              </w:rPr>
            </w:pPr>
            <w:r w:rsidRPr="00300B97">
              <w:rPr>
                <w:rFonts w:ascii="Arial" w:eastAsia="Times New Roman" w:hAnsi="Arial" w:cs="Arial"/>
                <w:bCs/>
                <w:iCs/>
                <w:sz w:val="24"/>
                <w:szCs w:val="24"/>
                <w:lang w:eastAsia="en-GB"/>
              </w:rPr>
              <w:t>The Applicant</w:t>
            </w:r>
          </w:p>
          <w:p w14:paraId="034FA2BC" w14:textId="0A2EF0BC"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bCs/>
                <w:iCs/>
                <w:sz w:val="24"/>
                <w:szCs w:val="24"/>
                <w:lang w:eastAsia="en-GB"/>
              </w:rPr>
              <w:t>Anglian Water</w:t>
            </w:r>
          </w:p>
        </w:tc>
        <w:tc>
          <w:tcPr>
            <w:tcW w:w="9639" w:type="dxa"/>
            <w:tcBorders>
              <w:top w:val="single" w:sz="4" w:space="0" w:color="auto"/>
              <w:left w:val="single" w:sz="4" w:space="0" w:color="auto"/>
              <w:bottom w:val="single" w:sz="4" w:space="0" w:color="auto"/>
              <w:right w:val="single" w:sz="4" w:space="0" w:color="auto"/>
            </w:tcBorders>
          </w:tcPr>
          <w:p w14:paraId="6EAEB7FE" w14:textId="77777777" w:rsidR="00C61D8A" w:rsidRPr="00300B97" w:rsidRDefault="00C61D8A" w:rsidP="00C61D8A">
            <w:pPr>
              <w:keepNext/>
              <w:spacing w:before="0" w:after="0"/>
              <w:ind w:left="28"/>
              <w:rPr>
                <w:rFonts w:ascii="Arial" w:eastAsia="Times New Roman" w:hAnsi="Arial" w:cs="Arial"/>
                <w:bCs/>
                <w:sz w:val="24"/>
                <w:szCs w:val="24"/>
                <w:lang w:eastAsia="en-GB"/>
              </w:rPr>
            </w:pPr>
            <w:r w:rsidRPr="00300B97">
              <w:rPr>
                <w:rFonts w:ascii="Arial" w:eastAsia="Times New Roman" w:hAnsi="Arial" w:cs="Arial"/>
                <w:b/>
                <w:sz w:val="24"/>
                <w:szCs w:val="24"/>
                <w:lang w:eastAsia="en-GB"/>
              </w:rPr>
              <w:t xml:space="preserve">Protective </w:t>
            </w:r>
            <w:r w:rsidRPr="00300B97">
              <w:rPr>
                <w:rFonts w:ascii="Arial" w:eastAsia="Times New Roman" w:hAnsi="Arial" w:cs="Arial"/>
                <w:b/>
                <w:bCs/>
                <w:sz w:val="24"/>
                <w:szCs w:val="24"/>
                <w:lang w:eastAsia="en-GB"/>
              </w:rPr>
              <w:t>Provisions</w:t>
            </w:r>
          </w:p>
          <w:p w14:paraId="32119C1E" w14:textId="21C04636"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In Annex A of the Applicant's Response to the Examining Authority's Further Written Questions (ExQ2) – Annexes [REP5-023] the Applicant sets out why it considers that the Anglian Water’s Inflow system would not be suitable for this project.</w:t>
            </w:r>
          </w:p>
          <w:p w14:paraId="33A02536" w14:textId="77777777" w:rsidR="00C61D8A" w:rsidRPr="00300B97" w:rsidRDefault="00C61D8A" w:rsidP="00C61D8A">
            <w:pPr>
              <w:spacing w:before="0" w:after="0"/>
              <w:rPr>
                <w:rFonts w:ascii="Arial" w:eastAsia="Times New Roman" w:hAnsi="Arial" w:cs="Arial"/>
                <w:bCs/>
                <w:sz w:val="24"/>
                <w:szCs w:val="24"/>
                <w:lang w:eastAsia="en-GB"/>
              </w:rPr>
            </w:pPr>
          </w:p>
          <w:p w14:paraId="583BBE70" w14:textId="427AB6FD"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lastRenderedPageBreak/>
              <w:t>The Applicant has set out four main points (although the last is a complaint about the system rather than a point). The ExA does not know this system, and therefore requests further information in response to the individual objections:</w:t>
            </w:r>
          </w:p>
          <w:p w14:paraId="7F589220" w14:textId="77777777" w:rsidR="00C61D8A" w:rsidRPr="00300B97" w:rsidRDefault="00C61D8A" w:rsidP="00C61D8A">
            <w:pPr>
              <w:spacing w:before="0" w:after="0"/>
              <w:ind w:left="29"/>
              <w:rPr>
                <w:rFonts w:ascii="Arial" w:eastAsia="Times New Roman" w:hAnsi="Arial" w:cs="Arial"/>
                <w:bCs/>
                <w:sz w:val="24"/>
                <w:szCs w:val="24"/>
                <w:lang w:eastAsia="en-GB"/>
              </w:rPr>
            </w:pPr>
          </w:p>
          <w:p w14:paraId="6283F5CB" w14:textId="77777777" w:rsidR="00C61D8A" w:rsidRPr="00300B97" w:rsidRDefault="00C61D8A" w:rsidP="00C61D8A">
            <w:pPr>
              <w:numPr>
                <w:ilvl w:val="0"/>
                <w:numId w:val="8"/>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Why could not a project login be utilised rather than an individual login?</w:t>
            </w:r>
          </w:p>
          <w:p w14:paraId="1588C726" w14:textId="21E4016A" w:rsidR="00C61D8A" w:rsidRPr="00300B97" w:rsidRDefault="00C61D8A" w:rsidP="00C61D8A">
            <w:pPr>
              <w:numPr>
                <w:ilvl w:val="0"/>
                <w:numId w:val="8"/>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Could the individual elements of the overall project be sub-divided to make them compatible with Inflow, and if not, why not?</w:t>
            </w:r>
          </w:p>
          <w:p w14:paraId="58A26381" w14:textId="3B1AA2C8" w:rsidR="00C61D8A" w:rsidRPr="00300B97" w:rsidRDefault="00C61D8A" w:rsidP="00C61D8A">
            <w:pPr>
              <w:numPr>
                <w:ilvl w:val="0"/>
                <w:numId w:val="8"/>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Does the Inflow system </w:t>
            </w:r>
            <w:proofErr w:type="gramStart"/>
            <w:r w:rsidRPr="00300B97">
              <w:rPr>
                <w:rFonts w:ascii="Arial" w:eastAsia="Times New Roman" w:hAnsi="Arial" w:cs="Arial"/>
                <w:bCs/>
                <w:sz w:val="24"/>
                <w:szCs w:val="24"/>
                <w:lang w:eastAsia="en-GB"/>
              </w:rPr>
              <w:t>have the ability to</w:t>
            </w:r>
            <w:proofErr w:type="gramEnd"/>
            <w:r w:rsidRPr="00300B97">
              <w:rPr>
                <w:rFonts w:ascii="Arial" w:eastAsia="Times New Roman" w:hAnsi="Arial" w:cs="Arial"/>
                <w:bCs/>
                <w:sz w:val="24"/>
                <w:szCs w:val="24"/>
                <w:lang w:eastAsia="en-GB"/>
              </w:rPr>
              <w:t xml:space="preserve"> ‘save’ information submitted to a point, and then re-commencing inputting at that point?</w:t>
            </w:r>
          </w:p>
          <w:p w14:paraId="60CA54AF" w14:textId="65D4EEAD" w:rsidR="00C61D8A" w:rsidRPr="00300B97" w:rsidRDefault="00C61D8A" w:rsidP="00C61D8A">
            <w:pPr>
              <w:numPr>
                <w:ilvl w:val="0"/>
                <w:numId w:val="8"/>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Why is a requirement to submit information sequentially not suitable - a detailed response, rather than “that does not reflect how the Applicant works or is able to work” (see paragraph under the bullets) is required?</w:t>
            </w:r>
          </w:p>
          <w:p w14:paraId="73E5A2D2" w14:textId="5F0EF9D4" w:rsidR="00C61D8A" w:rsidRPr="00300B97" w:rsidRDefault="00C61D8A" w:rsidP="00C61D8A">
            <w:pPr>
              <w:numPr>
                <w:ilvl w:val="0"/>
                <w:numId w:val="8"/>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Could the Applicant explain why it is unable to obtain a corporate card to allow for payments to be made in this form?</w:t>
            </w:r>
          </w:p>
          <w:p w14:paraId="79AD0123" w14:textId="77777777" w:rsidR="00C61D8A" w:rsidRPr="00300B97" w:rsidRDefault="00C61D8A" w:rsidP="00C61D8A">
            <w:pPr>
              <w:spacing w:before="0" w:after="0"/>
              <w:contextualSpacing/>
              <w:rPr>
                <w:rFonts w:ascii="Arial" w:eastAsia="Times New Roman" w:hAnsi="Arial" w:cs="Arial"/>
                <w:bCs/>
                <w:sz w:val="24"/>
                <w:szCs w:val="24"/>
                <w:lang w:eastAsia="en-GB"/>
              </w:rPr>
            </w:pPr>
          </w:p>
          <w:p w14:paraId="4E3D5B95" w14:textId="029E6B22"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The Applicant </w:t>
            </w:r>
            <w:r w:rsidRPr="00300B97">
              <w:rPr>
                <w:rFonts w:ascii="Arial" w:eastAsia="Times New Roman" w:hAnsi="Arial" w:cs="Arial"/>
                <w:sz w:val="24"/>
                <w:szCs w:val="24"/>
                <w:lang w:eastAsia="en-GB"/>
              </w:rPr>
              <w:t>is</w:t>
            </w:r>
            <w:r w:rsidRPr="00300B97">
              <w:rPr>
                <w:rFonts w:ascii="Arial" w:eastAsia="Times New Roman" w:hAnsi="Arial" w:cs="Arial"/>
                <w:bCs/>
                <w:sz w:val="24"/>
                <w:szCs w:val="24"/>
                <w:lang w:eastAsia="en-GB"/>
              </w:rPr>
              <w:t xml:space="preserve"> given the opportunity to set out why it does not consider the Inflow system is suitable for this project.</w:t>
            </w:r>
          </w:p>
        </w:tc>
      </w:tr>
      <w:tr w:rsidR="00C61D8A" w:rsidRPr="00300B97" w14:paraId="7934D0D5"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E11AF" w14:textId="78F7D212"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lastRenderedPageBreak/>
              <w:t>3.7</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91D45" w14:textId="38AF65EB" w:rsidR="00C61D8A" w:rsidRPr="00300B97" w:rsidRDefault="00C61D8A" w:rsidP="00C61D8A">
            <w:pPr>
              <w:spacing w:before="0" w:after="0"/>
              <w:rPr>
                <w:rFonts w:ascii="Arial" w:eastAsia="Times New Roman" w:hAnsi="Arial" w:cs="Arial"/>
                <w:b/>
                <w:sz w:val="28"/>
                <w:szCs w:val="28"/>
                <w:lang w:eastAsia="en-GB"/>
              </w:rPr>
            </w:pPr>
            <w:r w:rsidRPr="00300B97">
              <w:rPr>
                <w:rFonts w:ascii="Arial" w:eastAsia="Times New Roman" w:hAnsi="Arial" w:cs="Arial"/>
                <w:b/>
                <w:sz w:val="28"/>
                <w:szCs w:val="28"/>
                <w:lang w:eastAsia="en-GB"/>
              </w:rPr>
              <w:t>Geology and soils</w:t>
            </w:r>
          </w:p>
        </w:tc>
      </w:tr>
      <w:tr w:rsidR="00C61D8A" w:rsidRPr="00300B97" w14:paraId="11D4DB7E" w14:textId="77777777" w:rsidTr="00F50C8D">
        <w:tc>
          <w:tcPr>
            <w:tcW w:w="1809" w:type="dxa"/>
            <w:tcBorders>
              <w:top w:val="single" w:sz="4" w:space="0" w:color="auto"/>
              <w:left w:val="single" w:sz="4" w:space="0" w:color="auto"/>
              <w:bottom w:val="single" w:sz="4" w:space="0" w:color="auto"/>
              <w:right w:val="single" w:sz="4" w:space="0" w:color="auto"/>
            </w:tcBorders>
          </w:tcPr>
          <w:p w14:paraId="7A3C6373" w14:textId="49797E28" w:rsidR="00C61D8A" w:rsidRPr="00300B97" w:rsidRDefault="00C61D8A" w:rsidP="00C61D8A">
            <w:pPr>
              <w:spacing w:before="0" w:after="0"/>
              <w:contextualSpacing/>
              <w:rPr>
                <w:rFonts w:ascii="Arial" w:eastAsia="Times New Roman" w:hAnsi="Arial" w:cs="Arial"/>
                <w:lang w:eastAsia="en-GB"/>
              </w:rPr>
            </w:pPr>
            <w:r w:rsidRPr="00300B97">
              <w:rPr>
                <w:rFonts w:ascii="Arial" w:eastAsia="Times New Roman" w:hAnsi="Arial" w:cs="Arial"/>
                <w:sz w:val="24"/>
                <w:szCs w:val="24"/>
                <w:lang w:eastAsia="en-GB"/>
              </w:rPr>
              <w:t>3.7.1</w:t>
            </w:r>
          </w:p>
        </w:tc>
        <w:tc>
          <w:tcPr>
            <w:tcW w:w="2835" w:type="dxa"/>
            <w:tcBorders>
              <w:top w:val="single" w:sz="4" w:space="0" w:color="auto"/>
              <w:left w:val="single" w:sz="4" w:space="0" w:color="auto"/>
              <w:bottom w:val="single" w:sz="4" w:space="0" w:color="auto"/>
              <w:right w:val="single" w:sz="4" w:space="0" w:color="auto"/>
            </w:tcBorders>
          </w:tcPr>
          <w:p w14:paraId="79C03E84" w14:textId="7ED84CE5" w:rsidR="00C61D8A" w:rsidRPr="00300B97" w:rsidRDefault="00C61D8A" w:rsidP="00C61D8A">
            <w:pPr>
              <w:spacing w:before="0" w:after="0"/>
              <w:rPr>
                <w:rFonts w:ascii="Arial" w:eastAsia="Times New Roman" w:hAnsi="Arial" w:cs="Arial"/>
                <w:lang w:eastAsia="en-GB"/>
              </w:rPr>
            </w:pPr>
          </w:p>
        </w:tc>
        <w:tc>
          <w:tcPr>
            <w:tcW w:w="9639" w:type="dxa"/>
            <w:tcBorders>
              <w:top w:val="single" w:sz="4" w:space="0" w:color="auto"/>
              <w:left w:val="single" w:sz="4" w:space="0" w:color="auto"/>
              <w:bottom w:val="single" w:sz="4" w:space="0" w:color="auto"/>
              <w:right w:val="single" w:sz="4" w:space="0" w:color="auto"/>
            </w:tcBorders>
          </w:tcPr>
          <w:p w14:paraId="1A03760F" w14:textId="2664A969" w:rsidR="00C61D8A" w:rsidRPr="00300B97" w:rsidRDefault="00C61D8A" w:rsidP="00C61D8A">
            <w:pPr>
              <w:spacing w:before="0" w:after="0"/>
              <w:ind w:left="29"/>
              <w:rPr>
                <w:rFonts w:ascii="Arial" w:eastAsia="Times New Roman" w:hAnsi="Arial" w:cs="Arial"/>
                <w:bCs/>
                <w:lang w:eastAsia="en-GB"/>
              </w:rPr>
            </w:pPr>
            <w:r w:rsidRPr="00300B97">
              <w:rPr>
                <w:rFonts w:ascii="Arial" w:eastAsia="Times New Roman" w:hAnsi="Arial" w:cs="Arial"/>
                <w:sz w:val="24"/>
                <w:szCs w:val="24"/>
                <w:lang w:eastAsia="en-GB"/>
              </w:rPr>
              <w:t>The ExA has no geology and soils questions at this point in the Examination.</w:t>
            </w:r>
          </w:p>
        </w:tc>
      </w:tr>
      <w:tr w:rsidR="00C61D8A" w:rsidRPr="00300B97" w14:paraId="55D566A2"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ABAB4" w14:textId="34BCC085"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3.8</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9830D" w14:textId="77BA4A66" w:rsidR="00C61D8A" w:rsidRPr="00300B97" w:rsidRDefault="00C61D8A" w:rsidP="00C61D8A">
            <w:pPr>
              <w:spacing w:before="0" w:after="0"/>
              <w:rPr>
                <w:rFonts w:ascii="Arial" w:eastAsia="Times New Roman" w:hAnsi="Arial" w:cs="Arial"/>
                <w:b/>
                <w:sz w:val="28"/>
                <w:szCs w:val="28"/>
                <w:lang w:eastAsia="en-GB"/>
              </w:rPr>
            </w:pPr>
            <w:r w:rsidRPr="00300B97">
              <w:rPr>
                <w:rFonts w:ascii="Arial" w:eastAsia="Times New Roman" w:hAnsi="Arial" w:cs="Arial"/>
                <w:b/>
                <w:sz w:val="28"/>
                <w:szCs w:val="28"/>
                <w:lang w:eastAsia="en-GB"/>
              </w:rPr>
              <w:t>Landscape and visual</w:t>
            </w:r>
          </w:p>
        </w:tc>
      </w:tr>
      <w:tr w:rsidR="00C61D8A" w:rsidRPr="00300B97" w14:paraId="5861C521" w14:textId="77777777" w:rsidTr="004C6447">
        <w:tc>
          <w:tcPr>
            <w:tcW w:w="1809" w:type="dxa"/>
            <w:tcBorders>
              <w:top w:val="single" w:sz="4" w:space="0" w:color="auto"/>
              <w:left w:val="single" w:sz="4" w:space="0" w:color="auto"/>
              <w:bottom w:val="single" w:sz="4" w:space="0" w:color="auto"/>
              <w:right w:val="single" w:sz="4" w:space="0" w:color="auto"/>
            </w:tcBorders>
          </w:tcPr>
          <w:p w14:paraId="76CF37AE" w14:textId="257AAABF" w:rsidR="00C61D8A" w:rsidRPr="00300B97" w:rsidRDefault="00C61D8A" w:rsidP="00C61D8A">
            <w:pPr>
              <w:spacing w:before="0" w:after="0"/>
              <w:contextualSpacing/>
              <w:rPr>
                <w:rFonts w:ascii="Arial" w:eastAsia="Times New Roman" w:hAnsi="Arial" w:cs="Arial"/>
                <w:lang w:eastAsia="en-GB"/>
              </w:rPr>
            </w:pPr>
            <w:r w:rsidRPr="00300B97">
              <w:rPr>
                <w:rFonts w:ascii="Arial" w:eastAsia="Times New Roman" w:hAnsi="Arial" w:cs="Arial"/>
                <w:sz w:val="24"/>
                <w:szCs w:val="24"/>
                <w:lang w:eastAsia="en-GB"/>
              </w:rPr>
              <w:t>3.8.1</w:t>
            </w:r>
          </w:p>
        </w:tc>
        <w:tc>
          <w:tcPr>
            <w:tcW w:w="2835" w:type="dxa"/>
            <w:tcBorders>
              <w:top w:val="single" w:sz="4" w:space="0" w:color="auto"/>
              <w:left w:val="single" w:sz="4" w:space="0" w:color="auto"/>
              <w:bottom w:val="single" w:sz="4" w:space="0" w:color="auto"/>
              <w:right w:val="single" w:sz="4" w:space="0" w:color="auto"/>
            </w:tcBorders>
          </w:tcPr>
          <w:p w14:paraId="0697FE75" w14:textId="77777777" w:rsidR="00C61D8A" w:rsidRPr="00300B97" w:rsidRDefault="00C61D8A" w:rsidP="00C61D8A">
            <w:pPr>
              <w:spacing w:before="0" w:after="0"/>
              <w:rPr>
                <w:rFonts w:ascii="Arial" w:eastAsia="Times New Roman" w:hAnsi="Arial" w:cs="Arial"/>
                <w:lang w:eastAsia="en-GB"/>
              </w:rPr>
            </w:pPr>
          </w:p>
        </w:tc>
        <w:tc>
          <w:tcPr>
            <w:tcW w:w="9639" w:type="dxa"/>
            <w:tcBorders>
              <w:top w:val="single" w:sz="4" w:space="0" w:color="auto"/>
              <w:left w:val="single" w:sz="4" w:space="0" w:color="auto"/>
              <w:bottom w:val="single" w:sz="4" w:space="0" w:color="auto"/>
              <w:right w:val="single" w:sz="4" w:space="0" w:color="auto"/>
            </w:tcBorders>
          </w:tcPr>
          <w:p w14:paraId="100985E1" w14:textId="03F2321E" w:rsidR="00C61D8A" w:rsidRPr="00300B97" w:rsidRDefault="00C61D8A" w:rsidP="00C61D8A">
            <w:pPr>
              <w:spacing w:before="0" w:after="0"/>
              <w:rPr>
                <w:rFonts w:ascii="Arial" w:eastAsia="Times New Roman" w:hAnsi="Arial" w:cs="Arial"/>
                <w:bCs/>
                <w:lang w:eastAsia="en-GB"/>
              </w:rPr>
            </w:pPr>
            <w:r w:rsidRPr="00300B97">
              <w:rPr>
                <w:rFonts w:ascii="Arial" w:eastAsia="Times New Roman" w:hAnsi="Arial" w:cs="Arial"/>
                <w:sz w:val="24"/>
                <w:szCs w:val="24"/>
                <w:lang w:eastAsia="en-GB"/>
              </w:rPr>
              <w:t>The ExA has no landscape and visual questions at this point in the Examination.</w:t>
            </w:r>
          </w:p>
        </w:tc>
      </w:tr>
      <w:tr w:rsidR="00C61D8A" w:rsidRPr="00300B97" w14:paraId="58547D7C"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F5CA2" w14:textId="3A502299"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3.9</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174A3" w14:textId="6680FBA7" w:rsidR="00C61D8A" w:rsidRPr="00300B97" w:rsidRDefault="00C61D8A" w:rsidP="00C61D8A">
            <w:pPr>
              <w:spacing w:before="0" w:after="0"/>
              <w:rPr>
                <w:rFonts w:ascii="Arial" w:eastAsia="Times New Roman" w:hAnsi="Arial" w:cs="Arial"/>
                <w:b/>
                <w:sz w:val="28"/>
                <w:szCs w:val="28"/>
                <w:lang w:eastAsia="en-GB"/>
              </w:rPr>
            </w:pPr>
            <w:r w:rsidRPr="00300B97">
              <w:rPr>
                <w:rFonts w:ascii="Arial" w:eastAsia="Times New Roman" w:hAnsi="Arial" w:cs="Arial"/>
                <w:b/>
                <w:sz w:val="28"/>
                <w:szCs w:val="28"/>
                <w:lang w:eastAsia="en-GB"/>
              </w:rPr>
              <w:t>Noise and vibration</w:t>
            </w:r>
          </w:p>
        </w:tc>
      </w:tr>
      <w:tr w:rsidR="00C61D8A" w:rsidRPr="00300B97" w14:paraId="4BA14BE6" w14:textId="77777777" w:rsidTr="004C6447">
        <w:tc>
          <w:tcPr>
            <w:tcW w:w="1809" w:type="dxa"/>
            <w:tcBorders>
              <w:top w:val="single" w:sz="4" w:space="0" w:color="auto"/>
              <w:left w:val="single" w:sz="4" w:space="0" w:color="auto"/>
              <w:bottom w:val="single" w:sz="4" w:space="0" w:color="auto"/>
              <w:right w:val="single" w:sz="4" w:space="0" w:color="auto"/>
            </w:tcBorders>
          </w:tcPr>
          <w:p w14:paraId="3C5EE9F2" w14:textId="6510D9A6" w:rsidR="00C61D8A" w:rsidRPr="00300B97" w:rsidRDefault="00C61D8A" w:rsidP="00C61D8A">
            <w:pPr>
              <w:spacing w:before="0" w:after="0"/>
              <w:contextualSpacing/>
              <w:rPr>
                <w:rFonts w:ascii="Arial" w:eastAsia="Times New Roman" w:hAnsi="Arial" w:cs="Arial"/>
                <w:lang w:eastAsia="en-GB"/>
              </w:rPr>
            </w:pPr>
            <w:r w:rsidRPr="00300B97">
              <w:rPr>
                <w:rFonts w:ascii="Arial" w:eastAsia="Times New Roman" w:hAnsi="Arial" w:cs="Arial"/>
                <w:sz w:val="24"/>
                <w:szCs w:val="24"/>
                <w:lang w:eastAsia="en-GB"/>
              </w:rPr>
              <w:t>3.9.1</w:t>
            </w:r>
          </w:p>
        </w:tc>
        <w:tc>
          <w:tcPr>
            <w:tcW w:w="2835" w:type="dxa"/>
            <w:tcBorders>
              <w:top w:val="single" w:sz="4" w:space="0" w:color="auto"/>
              <w:left w:val="single" w:sz="4" w:space="0" w:color="auto"/>
              <w:bottom w:val="single" w:sz="4" w:space="0" w:color="auto"/>
              <w:right w:val="single" w:sz="4" w:space="0" w:color="auto"/>
            </w:tcBorders>
          </w:tcPr>
          <w:p w14:paraId="2041B1F9" w14:textId="77777777" w:rsidR="00C61D8A" w:rsidRPr="00300B97" w:rsidRDefault="00C61D8A" w:rsidP="00C61D8A">
            <w:pPr>
              <w:spacing w:before="0" w:after="0"/>
              <w:rPr>
                <w:rFonts w:ascii="Arial" w:eastAsia="Times New Roman" w:hAnsi="Arial" w:cs="Arial"/>
                <w:lang w:eastAsia="en-GB"/>
              </w:rPr>
            </w:pPr>
          </w:p>
        </w:tc>
        <w:tc>
          <w:tcPr>
            <w:tcW w:w="9639" w:type="dxa"/>
            <w:tcBorders>
              <w:top w:val="single" w:sz="4" w:space="0" w:color="auto"/>
              <w:left w:val="single" w:sz="4" w:space="0" w:color="auto"/>
              <w:bottom w:val="single" w:sz="4" w:space="0" w:color="auto"/>
              <w:right w:val="single" w:sz="4" w:space="0" w:color="auto"/>
            </w:tcBorders>
          </w:tcPr>
          <w:p w14:paraId="135554C2" w14:textId="175D104C" w:rsidR="00C61D8A" w:rsidRPr="00300B97" w:rsidRDefault="00C61D8A" w:rsidP="00C61D8A">
            <w:pPr>
              <w:spacing w:before="0" w:after="0"/>
              <w:ind w:left="29"/>
              <w:rPr>
                <w:rFonts w:ascii="Arial" w:eastAsia="Times New Roman" w:hAnsi="Arial" w:cs="Arial"/>
                <w:bCs/>
                <w:lang w:eastAsia="en-GB"/>
              </w:rPr>
            </w:pPr>
            <w:r w:rsidRPr="00300B97">
              <w:rPr>
                <w:rFonts w:ascii="Arial" w:eastAsia="Times New Roman" w:hAnsi="Arial" w:cs="Arial"/>
                <w:sz w:val="24"/>
                <w:szCs w:val="24"/>
                <w:lang w:eastAsia="en-GB"/>
              </w:rPr>
              <w:t>The ExA has no noise and vibration questions at this point in the Examination.</w:t>
            </w:r>
          </w:p>
        </w:tc>
      </w:tr>
      <w:tr w:rsidR="00C61D8A" w:rsidRPr="00300B97" w14:paraId="79F07BB5"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39AFE" w14:textId="4AF8C9FD"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3.10</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DC662" w14:textId="65BECF50" w:rsidR="00C61D8A" w:rsidRPr="00300B97" w:rsidRDefault="00C61D8A" w:rsidP="00C61D8A">
            <w:pPr>
              <w:spacing w:before="0" w:after="0"/>
              <w:rPr>
                <w:rFonts w:ascii="Arial" w:eastAsia="Times New Roman" w:hAnsi="Arial" w:cs="Arial"/>
                <w:b/>
                <w:sz w:val="28"/>
                <w:szCs w:val="28"/>
                <w:lang w:eastAsia="en-GB"/>
              </w:rPr>
            </w:pPr>
            <w:r w:rsidRPr="00300B97">
              <w:rPr>
                <w:rFonts w:ascii="Arial" w:eastAsia="Times New Roman" w:hAnsi="Arial" w:cs="Arial"/>
                <w:b/>
                <w:sz w:val="28"/>
                <w:szCs w:val="28"/>
                <w:lang w:eastAsia="en-GB"/>
              </w:rPr>
              <w:t>Socio-economic effects</w:t>
            </w:r>
          </w:p>
        </w:tc>
      </w:tr>
      <w:tr w:rsidR="00C61D8A" w:rsidRPr="00300B97" w14:paraId="5A967A3A" w14:textId="77777777" w:rsidTr="00F50C8D">
        <w:tc>
          <w:tcPr>
            <w:tcW w:w="1809" w:type="dxa"/>
            <w:tcBorders>
              <w:top w:val="single" w:sz="4" w:space="0" w:color="auto"/>
              <w:left w:val="single" w:sz="4" w:space="0" w:color="auto"/>
              <w:bottom w:val="single" w:sz="4" w:space="0" w:color="auto"/>
              <w:right w:val="single" w:sz="4" w:space="0" w:color="auto"/>
            </w:tcBorders>
          </w:tcPr>
          <w:p w14:paraId="19C6D45B" w14:textId="4049EB15" w:rsidR="00C61D8A" w:rsidRPr="00300B97" w:rsidRDefault="00C61D8A" w:rsidP="00C61D8A">
            <w:pPr>
              <w:spacing w:before="0" w:after="0"/>
              <w:contextualSpacing/>
              <w:rPr>
                <w:rFonts w:ascii="Arial" w:eastAsia="Times New Roman" w:hAnsi="Arial" w:cs="Arial"/>
                <w:lang w:eastAsia="en-GB"/>
              </w:rPr>
            </w:pPr>
            <w:r w:rsidRPr="00300B97">
              <w:rPr>
                <w:rFonts w:ascii="Arial" w:eastAsia="Times New Roman" w:hAnsi="Arial" w:cs="Arial"/>
                <w:sz w:val="24"/>
                <w:szCs w:val="24"/>
                <w:lang w:eastAsia="en-GB"/>
              </w:rPr>
              <w:t>3.10.1</w:t>
            </w:r>
          </w:p>
        </w:tc>
        <w:tc>
          <w:tcPr>
            <w:tcW w:w="2835" w:type="dxa"/>
            <w:tcBorders>
              <w:top w:val="single" w:sz="4" w:space="0" w:color="auto"/>
              <w:left w:val="single" w:sz="4" w:space="0" w:color="auto"/>
              <w:bottom w:val="single" w:sz="4" w:space="0" w:color="auto"/>
              <w:right w:val="single" w:sz="4" w:space="0" w:color="auto"/>
            </w:tcBorders>
          </w:tcPr>
          <w:p w14:paraId="7BCD5570" w14:textId="6AEB16B4" w:rsidR="00C61D8A" w:rsidRPr="00300B97" w:rsidRDefault="00C61D8A" w:rsidP="00C61D8A">
            <w:pPr>
              <w:spacing w:before="0" w:after="0"/>
              <w:rPr>
                <w:rFonts w:ascii="Arial" w:eastAsia="Times New Roman" w:hAnsi="Arial" w:cs="Arial"/>
                <w:lang w:eastAsia="en-GB"/>
              </w:rPr>
            </w:pPr>
          </w:p>
        </w:tc>
        <w:tc>
          <w:tcPr>
            <w:tcW w:w="9639" w:type="dxa"/>
            <w:tcBorders>
              <w:top w:val="single" w:sz="4" w:space="0" w:color="auto"/>
              <w:left w:val="single" w:sz="4" w:space="0" w:color="auto"/>
              <w:bottom w:val="single" w:sz="4" w:space="0" w:color="auto"/>
              <w:right w:val="single" w:sz="4" w:space="0" w:color="auto"/>
            </w:tcBorders>
          </w:tcPr>
          <w:p w14:paraId="146AA707" w14:textId="630F1356" w:rsidR="00C61D8A" w:rsidRPr="00300B97" w:rsidRDefault="00C61D8A" w:rsidP="00C61D8A">
            <w:pPr>
              <w:spacing w:before="0" w:after="0"/>
              <w:ind w:left="29"/>
              <w:rPr>
                <w:rFonts w:ascii="Arial" w:eastAsia="Times New Roman" w:hAnsi="Arial" w:cs="Arial"/>
                <w:lang w:eastAsia="en-GB"/>
              </w:rPr>
            </w:pPr>
            <w:r w:rsidRPr="00300B97">
              <w:rPr>
                <w:rFonts w:ascii="Arial" w:eastAsia="Times New Roman" w:hAnsi="Arial" w:cs="Arial"/>
                <w:sz w:val="24"/>
                <w:szCs w:val="24"/>
                <w:lang w:eastAsia="en-GB"/>
              </w:rPr>
              <w:t>The ExA has no socio-economic questions at this point in the Examination.</w:t>
            </w:r>
          </w:p>
        </w:tc>
      </w:tr>
      <w:tr w:rsidR="00C61D8A" w:rsidRPr="00300B97" w14:paraId="3AD20292"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30AD5" w14:textId="1FDD3393"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3.11</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378E7" w14:textId="10F8DCED" w:rsidR="00C61D8A" w:rsidRPr="00300B97" w:rsidRDefault="00C61D8A" w:rsidP="00C61D8A">
            <w:pPr>
              <w:spacing w:before="0" w:after="0"/>
              <w:rPr>
                <w:rFonts w:ascii="Arial" w:eastAsia="Times New Roman" w:hAnsi="Arial" w:cs="Arial"/>
                <w:b/>
                <w:sz w:val="28"/>
                <w:szCs w:val="28"/>
                <w:lang w:eastAsia="en-GB"/>
              </w:rPr>
            </w:pPr>
            <w:r w:rsidRPr="00300B97">
              <w:rPr>
                <w:rFonts w:ascii="Arial" w:eastAsia="Times New Roman" w:hAnsi="Arial" w:cs="Arial"/>
                <w:b/>
                <w:sz w:val="28"/>
                <w:szCs w:val="28"/>
                <w:lang w:eastAsia="en-GB"/>
              </w:rPr>
              <w:t>Traffic and transport</w:t>
            </w:r>
          </w:p>
        </w:tc>
      </w:tr>
      <w:tr w:rsidR="00C61D8A" w:rsidRPr="00300B97" w14:paraId="5E96788D" w14:textId="77777777" w:rsidTr="00F50C8D">
        <w:tc>
          <w:tcPr>
            <w:tcW w:w="1809" w:type="dxa"/>
            <w:tcBorders>
              <w:top w:val="single" w:sz="4" w:space="0" w:color="auto"/>
              <w:left w:val="single" w:sz="4" w:space="0" w:color="auto"/>
              <w:bottom w:val="single" w:sz="4" w:space="0" w:color="auto"/>
              <w:right w:val="single" w:sz="4" w:space="0" w:color="auto"/>
            </w:tcBorders>
          </w:tcPr>
          <w:p w14:paraId="25B96DE9" w14:textId="1D6B8836"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lastRenderedPageBreak/>
              <w:t>3.11.1</w:t>
            </w:r>
          </w:p>
        </w:tc>
        <w:tc>
          <w:tcPr>
            <w:tcW w:w="2835" w:type="dxa"/>
            <w:tcBorders>
              <w:top w:val="single" w:sz="4" w:space="0" w:color="auto"/>
              <w:left w:val="single" w:sz="4" w:space="0" w:color="auto"/>
              <w:bottom w:val="single" w:sz="4" w:space="0" w:color="auto"/>
              <w:right w:val="single" w:sz="4" w:space="0" w:color="auto"/>
            </w:tcBorders>
          </w:tcPr>
          <w:p w14:paraId="24D62924" w14:textId="4EFBDE78"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2FB596C2" w14:textId="77777777" w:rsidR="00C61D8A" w:rsidRPr="00300B97" w:rsidRDefault="00C61D8A" w:rsidP="00C61D8A">
            <w:pPr>
              <w:keepNext/>
              <w:spacing w:before="0" w:after="0"/>
              <w:ind w:left="28"/>
              <w:rPr>
                <w:rFonts w:ascii="Arial" w:eastAsia="Times New Roman" w:hAnsi="Arial" w:cs="Arial"/>
                <w:bCs/>
                <w:sz w:val="24"/>
                <w:szCs w:val="24"/>
                <w:lang w:eastAsia="en-GB"/>
              </w:rPr>
            </w:pPr>
            <w:r w:rsidRPr="00300B97">
              <w:rPr>
                <w:rFonts w:ascii="Arial" w:eastAsia="Times New Roman" w:hAnsi="Arial" w:cs="Arial"/>
                <w:b/>
                <w:sz w:val="24"/>
                <w:szCs w:val="24"/>
                <w:lang w:eastAsia="en-GB"/>
              </w:rPr>
              <w:t>Wansford West Roundabout</w:t>
            </w:r>
          </w:p>
          <w:p w14:paraId="35F0F01F" w14:textId="38F5449D"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In its response at the bottom of page 18 of the Applicant’s Further Response to Actions from Hearings [REP5</w:t>
            </w:r>
            <w:r w:rsidRPr="00300B97">
              <w:rPr>
                <w:rFonts w:ascii="Arial" w:eastAsia="Times New Roman" w:hAnsi="Arial" w:cs="Arial"/>
                <w:bCs/>
                <w:sz w:val="24"/>
                <w:szCs w:val="24"/>
                <w:lang w:eastAsia="en-GB"/>
              </w:rPr>
              <w:noBreakHyphen/>
              <w:t xml:space="preserve">020] the Applicant </w:t>
            </w:r>
            <w:proofErr w:type="gramStart"/>
            <w:r w:rsidRPr="00300B97">
              <w:rPr>
                <w:rFonts w:ascii="Arial" w:eastAsia="Times New Roman" w:hAnsi="Arial" w:cs="Arial"/>
                <w:bCs/>
                <w:sz w:val="24"/>
                <w:szCs w:val="24"/>
                <w:lang w:eastAsia="en-GB"/>
              </w:rPr>
              <w:t>makes reference</w:t>
            </w:r>
            <w:proofErr w:type="gramEnd"/>
            <w:r w:rsidRPr="00300B97">
              <w:rPr>
                <w:rFonts w:ascii="Arial" w:eastAsia="Times New Roman" w:hAnsi="Arial" w:cs="Arial"/>
                <w:bCs/>
                <w:sz w:val="24"/>
                <w:szCs w:val="24"/>
                <w:lang w:eastAsia="en-GB"/>
              </w:rPr>
              <w:t xml:space="preserve"> to the differences between roundabouts and signalised junctions. This is not what the ExA was asking about. Rather he was asking about the capacity and safety aspects of </w:t>
            </w:r>
            <w:proofErr w:type="gramStart"/>
            <w:r w:rsidRPr="00300B97">
              <w:rPr>
                <w:rFonts w:ascii="Arial" w:eastAsia="Times New Roman" w:hAnsi="Arial" w:cs="Arial"/>
                <w:bCs/>
                <w:sz w:val="24"/>
                <w:szCs w:val="24"/>
                <w:lang w:eastAsia="en-GB"/>
              </w:rPr>
              <w:t>signal controlled</w:t>
            </w:r>
            <w:proofErr w:type="gramEnd"/>
            <w:r w:rsidRPr="00300B97">
              <w:rPr>
                <w:rFonts w:ascii="Arial" w:eastAsia="Times New Roman" w:hAnsi="Arial" w:cs="Arial"/>
                <w:bCs/>
                <w:sz w:val="24"/>
                <w:szCs w:val="24"/>
                <w:lang w:eastAsia="en-GB"/>
              </w:rPr>
              <w:t xml:space="preserve"> roundabouts, or at least partially signally controlled roundabouts (as the Wansford east roundabout is at present), when compared with non-signal controlled (ie conventional) roundabouts.</w:t>
            </w:r>
          </w:p>
          <w:p w14:paraId="529161EA" w14:textId="77777777" w:rsidR="00C61D8A" w:rsidRPr="00300B97" w:rsidRDefault="00C61D8A" w:rsidP="00C61D8A">
            <w:pPr>
              <w:spacing w:before="0" w:after="0"/>
              <w:contextualSpacing/>
              <w:rPr>
                <w:rFonts w:ascii="Arial" w:eastAsia="Times New Roman" w:hAnsi="Arial" w:cs="Arial"/>
                <w:bCs/>
                <w:sz w:val="24"/>
                <w:szCs w:val="24"/>
                <w:lang w:eastAsia="en-GB"/>
              </w:rPr>
            </w:pPr>
          </w:p>
          <w:p w14:paraId="77A3B653" w14:textId="46F8FD58"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Does the Applicant have any information on this? For this reason, the Western Roundabout Traffic Option Assessment Technical Note (Annex E of the Applicant’s Response to the Examining Authority’s Further Written Questions (ExQ2) – Annex E [REP5</w:t>
            </w:r>
            <w:r w:rsidRPr="00300B97">
              <w:rPr>
                <w:rFonts w:ascii="Arial" w:eastAsia="Times New Roman" w:hAnsi="Arial" w:cs="Arial"/>
                <w:bCs/>
                <w:sz w:val="24"/>
                <w:szCs w:val="24"/>
                <w:lang w:eastAsia="en-GB"/>
              </w:rPr>
              <w:noBreakHyphen/>
              <w:t>023], while of interest, is not directly relevant.</w:t>
            </w:r>
          </w:p>
        </w:tc>
      </w:tr>
      <w:tr w:rsidR="00C61D8A" w:rsidRPr="00300B97" w14:paraId="0FE4857B" w14:textId="77777777" w:rsidTr="00F50C8D">
        <w:tc>
          <w:tcPr>
            <w:tcW w:w="1809" w:type="dxa"/>
            <w:tcBorders>
              <w:top w:val="single" w:sz="4" w:space="0" w:color="auto"/>
              <w:left w:val="single" w:sz="4" w:space="0" w:color="auto"/>
              <w:bottom w:val="single" w:sz="4" w:space="0" w:color="auto"/>
              <w:right w:val="single" w:sz="4" w:space="0" w:color="auto"/>
            </w:tcBorders>
          </w:tcPr>
          <w:p w14:paraId="4D9B905D" w14:textId="08339642"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3.11.2</w:t>
            </w:r>
          </w:p>
        </w:tc>
        <w:tc>
          <w:tcPr>
            <w:tcW w:w="2835" w:type="dxa"/>
            <w:tcBorders>
              <w:top w:val="single" w:sz="4" w:space="0" w:color="auto"/>
              <w:left w:val="single" w:sz="4" w:space="0" w:color="auto"/>
              <w:bottom w:val="single" w:sz="4" w:space="0" w:color="auto"/>
              <w:right w:val="single" w:sz="4" w:space="0" w:color="auto"/>
            </w:tcBorders>
          </w:tcPr>
          <w:p w14:paraId="63FE2323" w14:textId="135042D2"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769A73EF" w14:textId="77777777" w:rsidR="00C61D8A" w:rsidRPr="00300B97" w:rsidRDefault="00C61D8A" w:rsidP="00C61D8A">
            <w:pPr>
              <w:keepNext/>
              <w:spacing w:before="0" w:after="0"/>
              <w:ind w:left="28"/>
              <w:rPr>
                <w:rFonts w:ascii="Arial" w:eastAsia="Times New Roman" w:hAnsi="Arial" w:cs="Arial"/>
                <w:bCs/>
                <w:sz w:val="24"/>
                <w:szCs w:val="24"/>
                <w:lang w:eastAsia="en-GB"/>
              </w:rPr>
            </w:pPr>
            <w:r w:rsidRPr="00300B97">
              <w:rPr>
                <w:rFonts w:ascii="Arial" w:eastAsia="Times New Roman" w:hAnsi="Arial" w:cs="Arial"/>
                <w:b/>
                <w:sz w:val="24"/>
                <w:szCs w:val="24"/>
                <w:lang w:eastAsia="en-GB"/>
              </w:rPr>
              <w:t>Wansford West Roundabout</w:t>
            </w:r>
          </w:p>
          <w:p w14:paraId="09964D0C" w14:textId="74BDF4C6"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The layout shown as “Design Fix B Layout” at Appendix A of Annex H: Wansford Western Roundabout – Safety Assessment” (the Safety Assessment) in the Applicant’s </w:t>
            </w:r>
            <w:r w:rsidRPr="00300B97">
              <w:rPr>
                <w:rFonts w:ascii="Arial" w:eastAsia="Times New Roman" w:hAnsi="Arial" w:cs="Arial"/>
                <w:sz w:val="24"/>
                <w:szCs w:val="24"/>
                <w:lang w:eastAsia="en-GB"/>
              </w:rPr>
              <w:t>Response</w:t>
            </w:r>
            <w:r w:rsidRPr="00300B97">
              <w:rPr>
                <w:rFonts w:ascii="Arial" w:eastAsia="Times New Roman" w:hAnsi="Arial" w:cs="Arial"/>
                <w:bCs/>
                <w:sz w:val="24"/>
                <w:szCs w:val="24"/>
                <w:lang w:eastAsia="en-GB"/>
              </w:rPr>
              <w:t xml:space="preserve"> to the Examining Authority’s Further Written Questions (ExQ2) – Annexes [REP5</w:t>
            </w:r>
            <w:r w:rsidRPr="00300B97">
              <w:rPr>
                <w:rFonts w:ascii="Arial" w:eastAsia="Times New Roman" w:hAnsi="Arial" w:cs="Arial"/>
                <w:bCs/>
                <w:sz w:val="24"/>
                <w:szCs w:val="24"/>
                <w:lang w:eastAsia="en-GB"/>
              </w:rPr>
              <w:noBreakHyphen/>
              <w:t>021] is different from that forming the Proposed Development.</w:t>
            </w:r>
          </w:p>
          <w:p w14:paraId="366457C7" w14:textId="77777777" w:rsidR="00C61D8A" w:rsidRPr="00300B97" w:rsidRDefault="00C61D8A" w:rsidP="00C61D8A">
            <w:pPr>
              <w:spacing w:before="0" w:after="0"/>
              <w:rPr>
                <w:rFonts w:ascii="Arial" w:eastAsia="Times New Roman" w:hAnsi="Arial" w:cs="Arial"/>
                <w:bCs/>
                <w:sz w:val="24"/>
                <w:szCs w:val="24"/>
                <w:lang w:eastAsia="en-GB"/>
              </w:rPr>
            </w:pPr>
          </w:p>
          <w:p w14:paraId="661687BE" w14:textId="7755B81D"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In its response to RR [REP1</w:t>
            </w:r>
            <w:r w:rsidRPr="00300B97">
              <w:rPr>
                <w:rFonts w:ascii="Arial" w:eastAsia="Times New Roman" w:hAnsi="Arial" w:cs="Arial"/>
                <w:bCs/>
                <w:sz w:val="24"/>
                <w:szCs w:val="24"/>
                <w:lang w:eastAsia="en-GB"/>
              </w:rPr>
              <w:noBreakHyphen/>
              <w:t xml:space="preserve">010] Common Response D the Applicant indicates “Consideration was given to widening the northbound off slip from the A1 to two lanes to reduce </w:t>
            </w:r>
            <w:r w:rsidRPr="00300B97">
              <w:rPr>
                <w:rFonts w:ascii="Arial" w:eastAsia="Times New Roman" w:hAnsi="Arial" w:cs="Arial"/>
                <w:sz w:val="24"/>
                <w:szCs w:val="24"/>
                <w:lang w:eastAsia="en-GB"/>
              </w:rPr>
              <w:t>queue</w:t>
            </w:r>
            <w:r w:rsidRPr="00300B97">
              <w:rPr>
                <w:rFonts w:ascii="Arial" w:eastAsia="Times New Roman" w:hAnsi="Arial" w:cs="Arial"/>
                <w:bCs/>
                <w:sz w:val="24"/>
                <w:szCs w:val="24"/>
                <w:lang w:eastAsia="en-GB"/>
              </w:rPr>
              <w:t xml:space="preserve"> lengths at this location. However, a review of this proposal by the Operational Road Safety team highlighted a greater level of risk for the Old North Road junction users who would be required to cross an additional lane of traffic”. This is quoted in ExQ2.11.4 [PD</w:t>
            </w:r>
            <w:r w:rsidRPr="00300B97">
              <w:rPr>
                <w:rFonts w:ascii="Arial" w:eastAsia="Times New Roman" w:hAnsi="Arial" w:cs="Arial"/>
                <w:bCs/>
                <w:sz w:val="24"/>
                <w:szCs w:val="24"/>
                <w:lang w:eastAsia="en-GB"/>
              </w:rPr>
              <w:noBreakHyphen/>
              <w:t>010].</w:t>
            </w:r>
          </w:p>
          <w:p w14:paraId="7D2FA249" w14:textId="77777777" w:rsidR="00C61D8A" w:rsidRPr="00300B97" w:rsidRDefault="00C61D8A" w:rsidP="00C61D8A">
            <w:pPr>
              <w:spacing w:before="0" w:after="0"/>
              <w:rPr>
                <w:rFonts w:ascii="Arial" w:eastAsia="Times New Roman" w:hAnsi="Arial" w:cs="Arial"/>
                <w:bCs/>
                <w:sz w:val="24"/>
                <w:szCs w:val="24"/>
                <w:lang w:eastAsia="en-GB"/>
              </w:rPr>
            </w:pPr>
          </w:p>
          <w:p w14:paraId="096281AF" w14:textId="2771BAD7"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lastRenderedPageBreak/>
              <w:t xml:space="preserve">However, the conclusions set out in the Safety Assessment was that the risk assessment considered them to be “Broadly Acceptable”, but that “the safety objectives for the </w:t>
            </w:r>
            <w:r w:rsidRPr="00300B97">
              <w:rPr>
                <w:rFonts w:ascii="Arial" w:eastAsia="Times New Roman" w:hAnsi="Arial" w:cs="Arial"/>
                <w:sz w:val="24"/>
                <w:szCs w:val="24"/>
                <w:lang w:eastAsia="en-GB"/>
              </w:rPr>
              <w:t>activity</w:t>
            </w:r>
            <w:r w:rsidRPr="00300B97">
              <w:rPr>
                <w:rFonts w:ascii="Arial" w:eastAsia="Times New Roman" w:hAnsi="Arial" w:cs="Arial"/>
                <w:bCs/>
                <w:sz w:val="24"/>
                <w:szCs w:val="24"/>
                <w:lang w:eastAsia="en-GB"/>
              </w:rPr>
              <w:t xml:space="preserve"> are deemed to be acceptable by the removal of the medium level risk and the cumulative risk values for all hazards being no worse than the existing situation”.</w:t>
            </w:r>
          </w:p>
          <w:p w14:paraId="5119885F" w14:textId="77777777" w:rsidR="00C61D8A" w:rsidRPr="00300B97" w:rsidRDefault="00C61D8A" w:rsidP="00C61D8A">
            <w:pPr>
              <w:spacing w:before="0" w:after="0"/>
              <w:rPr>
                <w:rFonts w:ascii="Arial" w:eastAsia="Times New Roman" w:hAnsi="Arial" w:cs="Arial"/>
                <w:bCs/>
                <w:sz w:val="24"/>
                <w:szCs w:val="24"/>
                <w:lang w:eastAsia="en-GB"/>
              </w:rPr>
            </w:pPr>
          </w:p>
          <w:p w14:paraId="2315BB24" w14:textId="1F0091C2"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Tables 3-7 and 3-8 in the Safety Assessment identify a single medium risk value for the </w:t>
            </w:r>
            <w:r w:rsidRPr="00300B97">
              <w:rPr>
                <w:rFonts w:ascii="Arial" w:eastAsia="Times New Roman" w:hAnsi="Arial" w:cs="Arial"/>
                <w:sz w:val="24"/>
                <w:szCs w:val="24"/>
                <w:lang w:eastAsia="en-GB"/>
              </w:rPr>
              <w:t>existing</w:t>
            </w:r>
            <w:r w:rsidRPr="00300B97">
              <w:rPr>
                <w:rFonts w:ascii="Arial" w:eastAsia="Times New Roman" w:hAnsi="Arial" w:cs="Arial"/>
                <w:bCs/>
                <w:sz w:val="24"/>
                <w:szCs w:val="24"/>
                <w:lang w:eastAsia="en-GB"/>
              </w:rPr>
              <w:t xml:space="preserve"> layout and none for the proposed design (as shown in Appendix A).</w:t>
            </w:r>
          </w:p>
          <w:p w14:paraId="6447B907" w14:textId="77777777" w:rsidR="00C61D8A" w:rsidRPr="00300B97" w:rsidRDefault="00C61D8A" w:rsidP="00C61D8A">
            <w:pPr>
              <w:spacing w:before="0" w:after="0"/>
              <w:ind w:left="29"/>
              <w:rPr>
                <w:rFonts w:ascii="Arial" w:eastAsia="Times New Roman" w:hAnsi="Arial" w:cs="Arial"/>
                <w:bCs/>
                <w:sz w:val="24"/>
                <w:szCs w:val="24"/>
                <w:lang w:eastAsia="en-GB"/>
              </w:rPr>
            </w:pPr>
          </w:p>
          <w:p w14:paraId="6490539C" w14:textId="0717E8D2"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Given that the layout shown in Design Fix B is an improvement on both the current situation </w:t>
            </w:r>
            <w:r w:rsidRPr="00300B97">
              <w:rPr>
                <w:rFonts w:ascii="Arial" w:eastAsia="Times New Roman" w:hAnsi="Arial" w:cs="Arial"/>
                <w:sz w:val="24"/>
                <w:szCs w:val="24"/>
                <w:lang w:eastAsia="en-GB"/>
              </w:rPr>
              <w:t>and</w:t>
            </w:r>
            <w:r w:rsidRPr="00300B97">
              <w:rPr>
                <w:rFonts w:ascii="Arial" w:eastAsia="Times New Roman" w:hAnsi="Arial" w:cs="Arial"/>
                <w:bCs/>
                <w:sz w:val="24"/>
                <w:szCs w:val="24"/>
                <w:lang w:eastAsia="en-GB"/>
              </w:rPr>
              <w:t xml:space="preserve"> the Proposed Development, could the Applicant please explain why it does not form part of the Proposed Development, particularly as the Common Response D would appear to be based on incorrect information.</w:t>
            </w:r>
          </w:p>
        </w:tc>
      </w:tr>
      <w:tr w:rsidR="00C61D8A" w:rsidRPr="00300B97" w14:paraId="1B6A7BC9" w14:textId="77777777" w:rsidTr="004C6447">
        <w:tc>
          <w:tcPr>
            <w:tcW w:w="1809" w:type="dxa"/>
            <w:tcBorders>
              <w:top w:val="single" w:sz="4" w:space="0" w:color="auto"/>
              <w:left w:val="single" w:sz="4" w:space="0" w:color="auto"/>
              <w:bottom w:val="single" w:sz="4" w:space="0" w:color="auto"/>
              <w:right w:val="single" w:sz="4" w:space="0" w:color="auto"/>
            </w:tcBorders>
          </w:tcPr>
          <w:p w14:paraId="0B431FDF" w14:textId="2D2E1C59"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lastRenderedPageBreak/>
              <w:t>3.11.3</w:t>
            </w:r>
          </w:p>
        </w:tc>
        <w:tc>
          <w:tcPr>
            <w:tcW w:w="2835" w:type="dxa"/>
            <w:tcBorders>
              <w:top w:val="single" w:sz="4" w:space="0" w:color="auto"/>
              <w:left w:val="single" w:sz="4" w:space="0" w:color="auto"/>
              <w:bottom w:val="single" w:sz="4" w:space="0" w:color="auto"/>
              <w:right w:val="single" w:sz="4" w:space="0" w:color="auto"/>
            </w:tcBorders>
          </w:tcPr>
          <w:p w14:paraId="292A60F7" w14:textId="33EFA0FE"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27DF4B6D" w14:textId="77777777" w:rsidR="00C61D8A" w:rsidRPr="00300B97" w:rsidRDefault="00C61D8A" w:rsidP="00C61D8A">
            <w:pPr>
              <w:keepNext/>
              <w:spacing w:before="0" w:after="0"/>
              <w:ind w:left="28"/>
              <w:rPr>
                <w:rFonts w:ascii="Arial" w:eastAsia="Times New Roman" w:hAnsi="Arial" w:cs="Arial"/>
                <w:bCs/>
                <w:sz w:val="24"/>
                <w:szCs w:val="24"/>
                <w:lang w:eastAsia="en-GB"/>
              </w:rPr>
            </w:pPr>
            <w:r w:rsidRPr="00300B97">
              <w:rPr>
                <w:rFonts w:ascii="Arial" w:eastAsia="Times New Roman" w:hAnsi="Arial" w:cs="Arial"/>
                <w:b/>
                <w:sz w:val="24"/>
                <w:szCs w:val="24"/>
                <w:lang w:eastAsia="en-GB"/>
              </w:rPr>
              <w:t>Traffic Modelling</w:t>
            </w:r>
          </w:p>
          <w:p w14:paraId="3F571EE4" w14:textId="22AEB576"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Could </w:t>
            </w:r>
            <w:r w:rsidRPr="00300B97">
              <w:rPr>
                <w:rFonts w:ascii="Arial" w:eastAsia="Times New Roman" w:hAnsi="Arial" w:cs="Arial"/>
                <w:sz w:val="24"/>
                <w:szCs w:val="24"/>
                <w:lang w:eastAsia="en-GB"/>
              </w:rPr>
              <w:t>the</w:t>
            </w:r>
            <w:r w:rsidRPr="00300B97">
              <w:rPr>
                <w:rFonts w:ascii="Arial" w:eastAsia="Times New Roman" w:hAnsi="Arial" w:cs="Arial"/>
                <w:bCs/>
                <w:sz w:val="24"/>
                <w:szCs w:val="24"/>
                <w:lang w:eastAsia="en-GB"/>
              </w:rPr>
              <w:t xml:space="preserve"> Applicant in respect of the VISSIM model, please confirm the </w:t>
            </w:r>
            <w:proofErr w:type="gramStart"/>
            <w:r w:rsidRPr="00300B97">
              <w:rPr>
                <w:rFonts w:ascii="Arial" w:eastAsia="Times New Roman" w:hAnsi="Arial" w:cs="Arial"/>
                <w:bCs/>
                <w:sz w:val="24"/>
                <w:szCs w:val="24"/>
                <w:lang w:eastAsia="en-GB"/>
              </w:rPr>
              <w:t>following:</w:t>
            </w:r>
            <w:proofErr w:type="gramEnd"/>
          </w:p>
          <w:p w14:paraId="12B900DF" w14:textId="77777777" w:rsidR="00C61D8A" w:rsidRPr="00300B97" w:rsidRDefault="00C61D8A" w:rsidP="00C61D8A">
            <w:pPr>
              <w:spacing w:before="0" w:after="0"/>
              <w:rPr>
                <w:rFonts w:ascii="Arial" w:eastAsia="Times New Roman" w:hAnsi="Arial" w:cs="Arial"/>
                <w:bCs/>
                <w:sz w:val="24"/>
                <w:szCs w:val="24"/>
                <w:lang w:eastAsia="en-GB"/>
              </w:rPr>
            </w:pPr>
          </w:p>
          <w:p w14:paraId="3FF185A8" w14:textId="43FD3A57"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There is zero traffic in the model at the start, then it ‘runs’ for 30 minutes to, effectively, populate the system, then there is a 1 hour period for analysis and, finally, a 30 minute emptying of the model to allow journeys to complete.</w:t>
            </w:r>
          </w:p>
          <w:p w14:paraId="64B3F6B7" w14:textId="77777777" w:rsidR="00C61D8A" w:rsidRPr="00300B97" w:rsidRDefault="00C61D8A" w:rsidP="00C61D8A">
            <w:pPr>
              <w:spacing w:before="0" w:after="0"/>
              <w:rPr>
                <w:rFonts w:ascii="Arial" w:eastAsia="Times New Roman" w:hAnsi="Arial" w:cs="Arial"/>
                <w:bCs/>
                <w:sz w:val="24"/>
                <w:szCs w:val="24"/>
                <w:lang w:eastAsia="en-GB"/>
              </w:rPr>
            </w:pPr>
          </w:p>
          <w:p w14:paraId="2FA1595F" w14:textId="251F1648" w:rsidR="00C61D8A" w:rsidRPr="00300B97" w:rsidRDefault="00C61D8A" w:rsidP="00C61D8A">
            <w:pPr>
              <w:numPr>
                <w:ilvl w:val="0"/>
                <w:numId w:val="17"/>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If this is incorrect, could the Applicant please explain why, and how I have misunderstood the model?</w:t>
            </w:r>
          </w:p>
          <w:p w14:paraId="70107585" w14:textId="77777777" w:rsidR="00C61D8A" w:rsidRPr="00300B97" w:rsidRDefault="00C61D8A" w:rsidP="00C61D8A">
            <w:pPr>
              <w:spacing w:before="0" w:after="0"/>
              <w:ind w:left="29"/>
              <w:contextualSpacing/>
              <w:rPr>
                <w:rFonts w:ascii="Arial" w:eastAsia="Times New Roman" w:hAnsi="Arial" w:cs="Arial"/>
                <w:bCs/>
                <w:sz w:val="24"/>
                <w:szCs w:val="24"/>
                <w:lang w:eastAsia="en-GB"/>
              </w:rPr>
            </w:pPr>
          </w:p>
          <w:p w14:paraId="59D6AAFC" w14:textId="5C3CA669" w:rsidR="00C61D8A" w:rsidRPr="00300B97" w:rsidRDefault="00C61D8A" w:rsidP="00C61D8A">
            <w:pPr>
              <w:numPr>
                <w:ilvl w:val="0"/>
                <w:numId w:val="17"/>
              </w:numPr>
              <w:spacing w:before="0" w:after="0"/>
              <w:contextualSpacing/>
              <w:rPr>
                <w:rFonts w:ascii="Arial" w:eastAsia="Times New Roman" w:hAnsi="Arial" w:cs="Arial"/>
                <w:bCs/>
                <w:sz w:val="24"/>
                <w:szCs w:val="24"/>
                <w:lang w:eastAsia="en-GB"/>
              </w:rPr>
            </w:pPr>
            <w:r w:rsidRPr="00300B97">
              <w:rPr>
                <w:rFonts w:ascii="Arial" w:eastAsia="Times New Roman" w:hAnsi="Arial" w:cs="Arial"/>
                <w:bCs/>
                <w:sz w:val="24"/>
                <w:szCs w:val="24"/>
                <w:lang w:eastAsia="en-GB"/>
              </w:rPr>
              <w:t>If this is correct, could the Applicant please explain how the model deals with background traffic, in other words traffic that is effectively moving within the model area; for example, a commuter who lives and work within the area, but travels from one to the other?</w:t>
            </w:r>
          </w:p>
        </w:tc>
      </w:tr>
      <w:tr w:rsidR="00C61D8A" w:rsidRPr="00300B97" w14:paraId="17BFCB76" w14:textId="77777777" w:rsidTr="004C6447">
        <w:tc>
          <w:tcPr>
            <w:tcW w:w="1809" w:type="dxa"/>
            <w:tcBorders>
              <w:top w:val="single" w:sz="4" w:space="0" w:color="auto"/>
              <w:left w:val="single" w:sz="4" w:space="0" w:color="auto"/>
              <w:bottom w:val="single" w:sz="4" w:space="0" w:color="auto"/>
              <w:right w:val="single" w:sz="4" w:space="0" w:color="auto"/>
            </w:tcBorders>
          </w:tcPr>
          <w:p w14:paraId="2A565428" w14:textId="495AC6E6"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lastRenderedPageBreak/>
              <w:t>3.11.4</w:t>
            </w:r>
          </w:p>
        </w:tc>
        <w:tc>
          <w:tcPr>
            <w:tcW w:w="2835" w:type="dxa"/>
            <w:tcBorders>
              <w:top w:val="single" w:sz="4" w:space="0" w:color="auto"/>
              <w:left w:val="single" w:sz="4" w:space="0" w:color="auto"/>
              <w:bottom w:val="single" w:sz="4" w:space="0" w:color="auto"/>
              <w:right w:val="single" w:sz="4" w:space="0" w:color="auto"/>
            </w:tcBorders>
          </w:tcPr>
          <w:p w14:paraId="4CE74DFC" w14:textId="00D98919"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125AB7C4" w14:textId="77777777" w:rsidR="00C61D8A" w:rsidRPr="00300B97" w:rsidRDefault="00C61D8A" w:rsidP="00C61D8A">
            <w:pPr>
              <w:keepNext/>
              <w:spacing w:before="0" w:after="0"/>
              <w:ind w:left="28"/>
              <w:rPr>
                <w:rFonts w:ascii="Arial" w:eastAsia="Times New Roman" w:hAnsi="Arial" w:cs="Arial"/>
                <w:bCs/>
                <w:sz w:val="24"/>
                <w:szCs w:val="24"/>
                <w:lang w:eastAsia="en-GB"/>
              </w:rPr>
            </w:pPr>
            <w:r w:rsidRPr="00300B97">
              <w:rPr>
                <w:rFonts w:ascii="Arial" w:eastAsia="Times New Roman" w:hAnsi="Arial" w:cs="Arial"/>
                <w:b/>
                <w:sz w:val="24"/>
                <w:szCs w:val="24"/>
                <w:lang w:eastAsia="en-GB"/>
              </w:rPr>
              <w:t>Traffic Modelling</w:t>
            </w:r>
          </w:p>
          <w:p w14:paraId="07C0E850" w14:textId="1B9FC8D1"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The Sensitivity Test Technical Note (Annex C of Applicant’s Further Response to Actions form Hearings – Annexes [REP5 021]) in Section 5 “Conclusions and Fitness for Purpose” reports against the TAG criterion. However, it does not conclude against the GEH criterion. It is noted that the analysis does not pass the GEH criterion for all analysis in Tables 3-7 to 3-9 and Tables 4-4 to 4-9.</w:t>
            </w:r>
          </w:p>
          <w:p w14:paraId="7738F9A8" w14:textId="77777777" w:rsidR="00C61D8A" w:rsidRPr="00300B97" w:rsidRDefault="00C61D8A" w:rsidP="00C61D8A">
            <w:pPr>
              <w:spacing w:before="0" w:after="0"/>
              <w:rPr>
                <w:rFonts w:ascii="Arial" w:eastAsia="Times New Roman" w:hAnsi="Arial" w:cs="Arial"/>
                <w:bCs/>
                <w:sz w:val="24"/>
                <w:szCs w:val="24"/>
                <w:lang w:eastAsia="en-GB"/>
              </w:rPr>
            </w:pPr>
          </w:p>
          <w:p w14:paraId="60A79303" w14:textId="4E92A7DB"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Could </w:t>
            </w:r>
            <w:r w:rsidRPr="00300B97">
              <w:rPr>
                <w:rFonts w:ascii="Arial" w:eastAsia="Times New Roman" w:hAnsi="Arial" w:cs="Arial"/>
                <w:sz w:val="24"/>
                <w:szCs w:val="24"/>
                <w:lang w:eastAsia="en-GB"/>
              </w:rPr>
              <w:t>the</w:t>
            </w:r>
            <w:r w:rsidRPr="00300B97">
              <w:rPr>
                <w:rFonts w:ascii="Arial" w:eastAsia="Times New Roman" w:hAnsi="Arial" w:cs="Arial"/>
                <w:bCs/>
                <w:sz w:val="24"/>
                <w:szCs w:val="24"/>
                <w:lang w:eastAsia="en-GB"/>
              </w:rPr>
              <w:t xml:space="preserve"> Applicant please provide a commentary and conclusion in relation to the GEH criterion?</w:t>
            </w:r>
          </w:p>
        </w:tc>
      </w:tr>
      <w:tr w:rsidR="00C61D8A" w:rsidRPr="00300B97" w14:paraId="1BF884C9" w14:textId="77777777" w:rsidTr="004C6447">
        <w:tc>
          <w:tcPr>
            <w:tcW w:w="1809" w:type="dxa"/>
            <w:tcBorders>
              <w:top w:val="single" w:sz="4" w:space="0" w:color="auto"/>
              <w:left w:val="single" w:sz="4" w:space="0" w:color="auto"/>
              <w:bottom w:val="single" w:sz="4" w:space="0" w:color="auto"/>
              <w:right w:val="single" w:sz="4" w:space="0" w:color="auto"/>
            </w:tcBorders>
          </w:tcPr>
          <w:p w14:paraId="68158016" w14:textId="0F623A76"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3.11.5</w:t>
            </w:r>
          </w:p>
        </w:tc>
        <w:tc>
          <w:tcPr>
            <w:tcW w:w="2835" w:type="dxa"/>
            <w:tcBorders>
              <w:top w:val="single" w:sz="4" w:space="0" w:color="auto"/>
              <w:left w:val="single" w:sz="4" w:space="0" w:color="auto"/>
              <w:bottom w:val="single" w:sz="4" w:space="0" w:color="auto"/>
              <w:right w:val="single" w:sz="4" w:space="0" w:color="auto"/>
            </w:tcBorders>
          </w:tcPr>
          <w:p w14:paraId="1BDFC3BC" w14:textId="0929F28D"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tc>
        <w:tc>
          <w:tcPr>
            <w:tcW w:w="9639" w:type="dxa"/>
            <w:tcBorders>
              <w:top w:val="single" w:sz="4" w:space="0" w:color="auto"/>
              <w:left w:val="single" w:sz="4" w:space="0" w:color="auto"/>
              <w:bottom w:val="single" w:sz="4" w:space="0" w:color="auto"/>
              <w:right w:val="single" w:sz="4" w:space="0" w:color="auto"/>
            </w:tcBorders>
          </w:tcPr>
          <w:p w14:paraId="44FC1A4B" w14:textId="77777777" w:rsidR="00C61D8A" w:rsidRPr="00300B97" w:rsidRDefault="00C61D8A" w:rsidP="00C61D8A">
            <w:pPr>
              <w:keepNext/>
              <w:spacing w:before="0" w:after="0"/>
              <w:ind w:left="28"/>
              <w:rPr>
                <w:rFonts w:ascii="Arial" w:eastAsia="Times New Roman" w:hAnsi="Arial" w:cs="Arial"/>
                <w:b/>
                <w:sz w:val="24"/>
                <w:szCs w:val="24"/>
                <w:lang w:eastAsia="en-GB"/>
              </w:rPr>
            </w:pPr>
            <w:r w:rsidRPr="00300B97">
              <w:rPr>
                <w:rFonts w:ascii="Arial" w:eastAsia="Times New Roman" w:hAnsi="Arial" w:cs="Arial"/>
                <w:b/>
                <w:sz w:val="24"/>
                <w:szCs w:val="24"/>
                <w:lang w:eastAsia="en-GB"/>
              </w:rPr>
              <w:t>NMU Route in southwest of Application site</w:t>
            </w:r>
          </w:p>
          <w:p w14:paraId="7264B173" w14:textId="5BE3BC82" w:rsidR="00C61D8A" w:rsidRPr="00300B97" w:rsidRDefault="00C61D8A" w:rsidP="00C61D8A">
            <w:pPr>
              <w:spacing w:before="0" w:after="0"/>
              <w:ind w:left="29"/>
              <w:rPr>
                <w:rFonts w:ascii="Arial" w:eastAsia="Times New Roman" w:hAnsi="Arial" w:cs="Arial"/>
                <w:bCs/>
                <w:sz w:val="24"/>
                <w:szCs w:val="24"/>
                <w:lang w:eastAsia="en-GB"/>
              </w:rPr>
            </w:pPr>
            <w:r w:rsidRPr="00300B97">
              <w:rPr>
                <w:rFonts w:ascii="Arial" w:eastAsia="Times New Roman" w:hAnsi="Arial" w:cs="Arial"/>
                <w:bCs/>
                <w:sz w:val="24"/>
                <w:szCs w:val="24"/>
                <w:lang w:eastAsia="en-GB"/>
              </w:rPr>
              <w:t xml:space="preserve">In the </w:t>
            </w:r>
            <w:r w:rsidRPr="00300B97">
              <w:rPr>
                <w:rFonts w:ascii="Arial" w:eastAsia="Times New Roman" w:hAnsi="Arial" w:cs="Arial"/>
                <w:sz w:val="24"/>
                <w:szCs w:val="24"/>
                <w:lang w:eastAsia="en-GB"/>
              </w:rPr>
              <w:t>Legal</w:t>
            </w:r>
            <w:r w:rsidRPr="00300B97">
              <w:rPr>
                <w:rFonts w:ascii="Arial" w:eastAsia="Times New Roman" w:hAnsi="Arial" w:cs="Arial"/>
                <w:bCs/>
                <w:sz w:val="24"/>
                <w:szCs w:val="24"/>
                <w:lang w:eastAsia="en-GB"/>
              </w:rPr>
              <w:t xml:space="preserve"> Note on Wansford Nene Way Permissive 1, the Applicant refers to Options 1a and 1b as shown on Drawing HE551494-GTY-HGN-000-DR-CH-38004. Could this drawing please be provided?</w:t>
            </w:r>
          </w:p>
        </w:tc>
      </w:tr>
      <w:tr w:rsidR="00C61D8A" w:rsidRPr="00300B97" w14:paraId="1BA7D53E" w14:textId="77777777" w:rsidTr="00EC685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DE260" w14:textId="1F21E96E" w:rsidR="00C61D8A" w:rsidRPr="00300B97" w:rsidRDefault="00C61D8A" w:rsidP="00C61D8A">
            <w:pPr>
              <w:spacing w:before="0" w:after="0"/>
              <w:contextualSpacing/>
              <w:rPr>
                <w:rFonts w:ascii="Arial" w:eastAsia="Times New Roman" w:hAnsi="Arial" w:cs="Arial"/>
                <w:sz w:val="28"/>
                <w:szCs w:val="28"/>
                <w:lang w:eastAsia="en-GB"/>
              </w:rPr>
            </w:pPr>
            <w:r w:rsidRPr="00300B97">
              <w:rPr>
                <w:rFonts w:ascii="Arial" w:eastAsia="Times New Roman" w:hAnsi="Arial" w:cs="Arial"/>
                <w:sz w:val="28"/>
                <w:szCs w:val="28"/>
                <w:lang w:eastAsia="en-GB"/>
              </w:rPr>
              <w:t>3.12</w:t>
            </w:r>
          </w:p>
        </w:tc>
        <w:tc>
          <w:tcPr>
            <w:tcW w:w="124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2482E" w14:textId="589E2DAC" w:rsidR="00C61D8A" w:rsidRPr="00300B97" w:rsidRDefault="00C61D8A" w:rsidP="00C61D8A">
            <w:pPr>
              <w:keepNext/>
              <w:pageBreakBefore/>
              <w:spacing w:before="0" w:after="0"/>
              <w:rPr>
                <w:rFonts w:ascii="Arial" w:eastAsia="Times New Roman" w:hAnsi="Arial" w:cs="Arial"/>
                <w:b/>
                <w:sz w:val="24"/>
                <w:szCs w:val="24"/>
                <w:lang w:eastAsia="en-GB"/>
              </w:rPr>
            </w:pPr>
            <w:r w:rsidRPr="00300B97">
              <w:rPr>
                <w:rFonts w:ascii="Arial" w:eastAsia="Times New Roman" w:hAnsi="Arial" w:cs="Arial"/>
                <w:b/>
                <w:sz w:val="28"/>
                <w:szCs w:val="28"/>
                <w:lang w:eastAsia="en-GB"/>
              </w:rPr>
              <w:t>Water environment and flood risk</w:t>
            </w:r>
          </w:p>
        </w:tc>
      </w:tr>
      <w:tr w:rsidR="00C61D8A" w:rsidRPr="00300B97" w14:paraId="517ABCB0" w14:textId="77777777" w:rsidTr="00F50C8D">
        <w:tc>
          <w:tcPr>
            <w:tcW w:w="1809" w:type="dxa"/>
            <w:tcBorders>
              <w:top w:val="single" w:sz="4" w:space="0" w:color="auto"/>
              <w:left w:val="single" w:sz="4" w:space="0" w:color="auto"/>
              <w:bottom w:val="single" w:sz="4" w:space="0" w:color="auto"/>
              <w:right w:val="single" w:sz="4" w:space="0" w:color="auto"/>
            </w:tcBorders>
          </w:tcPr>
          <w:p w14:paraId="1FB916ED" w14:textId="17ED59B7"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3.12.1</w:t>
            </w:r>
          </w:p>
        </w:tc>
        <w:tc>
          <w:tcPr>
            <w:tcW w:w="2835" w:type="dxa"/>
            <w:tcBorders>
              <w:top w:val="single" w:sz="4" w:space="0" w:color="auto"/>
              <w:left w:val="single" w:sz="4" w:space="0" w:color="auto"/>
              <w:bottom w:val="single" w:sz="4" w:space="0" w:color="auto"/>
              <w:right w:val="single" w:sz="4" w:space="0" w:color="auto"/>
            </w:tcBorders>
          </w:tcPr>
          <w:p w14:paraId="754AC31A" w14:textId="77777777"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The Applicant</w:t>
            </w:r>
          </w:p>
          <w:p w14:paraId="24573F53" w14:textId="77777777"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EA</w:t>
            </w:r>
          </w:p>
          <w:p w14:paraId="1AB141A4" w14:textId="62CD240E"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PCC</w:t>
            </w:r>
          </w:p>
        </w:tc>
        <w:tc>
          <w:tcPr>
            <w:tcW w:w="9639" w:type="dxa"/>
            <w:tcBorders>
              <w:top w:val="single" w:sz="4" w:space="0" w:color="auto"/>
              <w:left w:val="single" w:sz="4" w:space="0" w:color="auto"/>
              <w:bottom w:val="single" w:sz="4" w:space="0" w:color="auto"/>
              <w:right w:val="single" w:sz="4" w:space="0" w:color="auto"/>
            </w:tcBorders>
          </w:tcPr>
          <w:p w14:paraId="508648EC" w14:textId="77777777" w:rsidR="00C61D8A" w:rsidRPr="00300B97" w:rsidRDefault="00C61D8A" w:rsidP="00C61D8A">
            <w:pPr>
              <w:keepNext/>
              <w:spacing w:before="0" w:after="0"/>
              <w:ind w:left="28"/>
              <w:rPr>
                <w:rFonts w:ascii="Arial" w:eastAsia="Times New Roman" w:hAnsi="Arial" w:cs="Arial"/>
                <w:sz w:val="24"/>
                <w:szCs w:val="24"/>
                <w:lang w:eastAsia="en-GB"/>
              </w:rPr>
            </w:pPr>
            <w:r w:rsidRPr="00300B97">
              <w:rPr>
                <w:rFonts w:ascii="Arial" w:eastAsia="Times New Roman" w:hAnsi="Arial" w:cs="Arial"/>
                <w:b/>
                <w:bCs/>
                <w:sz w:val="24"/>
                <w:szCs w:val="24"/>
                <w:lang w:eastAsia="en-GB"/>
              </w:rPr>
              <w:t xml:space="preserve">Peak rainfall </w:t>
            </w:r>
            <w:r w:rsidRPr="00300B97">
              <w:rPr>
                <w:rFonts w:ascii="Arial" w:eastAsia="Times New Roman" w:hAnsi="Arial" w:cs="Arial"/>
                <w:b/>
                <w:sz w:val="24"/>
                <w:szCs w:val="24"/>
                <w:lang w:eastAsia="en-GB"/>
              </w:rPr>
              <w:t>allowances</w:t>
            </w:r>
          </w:p>
          <w:p w14:paraId="1D2FE541" w14:textId="164BDF12"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Could the Applicant, EA and PCC please respond to the publication by the EA of updated guidance on peak rainfall allowances in ‘Flood risk assessments: climate change allowances’ which was published on 10 May 2022 in respect of any implications this may have for the consideration of the Proposed Development.</w:t>
            </w:r>
          </w:p>
        </w:tc>
      </w:tr>
      <w:tr w:rsidR="00C61D8A" w:rsidRPr="00300B97" w14:paraId="0F3690E3" w14:textId="77777777" w:rsidTr="00F50C8D">
        <w:tc>
          <w:tcPr>
            <w:tcW w:w="1809" w:type="dxa"/>
            <w:tcBorders>
              <w:top w:val="single" w:sz="4" w:space="0" w:color="auto"/>
              <w:left w:val="single" w:sz="4" w:space="0" w:color="auto"/>
              <w:bottom w:val="single" w:sz="4" w:space="0" w:color="auto"/>
              <w:right w:val="single" w:sz="4" w:space="0" w:color="auto"/>
            </w:tcBorders>
          </w:tcPr>
          <w:p w14:paraId="10AC7EC6" w14:textId="66A17893" w:rsidR="00C61D8A" w:rsidRPr="00300B97" w:rsidRDefault="00C61D8A" w:rsidP="00C61D8A">
            <w:pPr>
              <w:spacing w:before="0" w:after="0"/>
              <w:contextualSpacing/>
              <w:rPr>
                <w:rFonts w:ascii="Arial" w:eastAsia="Times New Roman" w:hAnsi="Arial" w:cs="Arial"/>
                <w:sz w:val="24"/>
                <w:szCs w:val="24"/>
                <w:lang w:eastAsia="en-GB"/>
              </w:rPr>
            </w:pPr>
            <w:r w:rsidRPr="00300B97">
              <w:rPr>
                <w:rFonts w:ascii="Arial" w:eastAsia="Times New Roman" w:hAnsi="Arial" w:cs="Arial"/>
                <w:sz w:val="24"/>
                <w:szCs w:val="24"/>
                <w:lang w:eastAsia="en-GB"/>
              </w:rPr>
              <w:t>3.12.2</w:t>
            </w:r>
          </w:p>
        </w:tc>
        <w:tc>
          <w:tcPr>
            <w:tcW w:w="2835" w:type="dxa"/>
            <w:tcBorders>
              <w:top w:val="single" w:sz="4" w:space="0" w:color="auto"/>
              <w:left w:val="single" w:sz="4" w:space="0" w:color="auto"/>
              <w:bottom w:val="single" w:sz="4" w:space="0" w:color="auto"/>
              <w:right w:val="single" w:sz="4" w:space="0" w:color="auto"/>
            </w:tcBorders>
          </w:tcPr>
          <w:p w14:paraId="44881DD6" w14:textId="59D986E7" w:rsidR="00C61D8A" w:rsidRPr="00300B97" w:rsidRDefault="00C61D8A" w:rsidP="00C61D8A">
            <w:pPr>
              <w:spacing w:before="0" w:after="0"/>
              <w:rPr>
                <w:rFonts w:ascii="Arial" w:eastAsia="Times New Roman" w:hAnsi="Arial" w:cs="Arial"/>
                <w:sz w:val="24"/>
                <w:szCs w:val="24"/>
                <w:lang w:eastAsia="en-GB"/>
              </w:rPr>
            </w:pPr>
            <w:r w:rsidRPr="00300B97">
              <w:rPr>
                <w:rFonts w:ascii="Arial" w:eastAsia="Times New Roman" w:hAnsi="Arial" w:cs="Arial"/>
                <w:sz w:val="24"/>
                <w:szCs w:val="24"/>
                <w:lang w:eastAsia="en-GB"/>
              </w:rPr>
              <w:t>EA</w:t>
            </w:r>
          </w:p>
        </w:tc>
        <w:tc>
          <w:tcPr>
            <w:tcW w:w="9639" w:type="dxa"/>
            <w:tcBorders>
              <w:top w:val="single" w:sz="4" w:space="0" w:color="auto"/>
              <w:left w:val="single" w:sz="4" w:space="0" w:color="auto"/>
              <w:bottom w:val="single" w:sz="4" w:space="0" w:color="auto"/>
              <w:right w:val="single" w:sz="4" w:space="0" w:color="auto"/>
            </w:tcBorders>
          </w:tcPr>
          <w:p w14:paraId="4AD891C0" w14:textId="77777777" w:rsidR="00C61D8A" w:rsidRPr="00300B97" w:rsidRDefault="00C61D8A" w:rsidP="00C61D8A">
            <w:pPr>
              <w:keepNext/>
              <w:spacing w:before="0" w:after="0"/>
              <w:ind w:left="28"/>
              <w:rPr>
                <w:rFonts w:ascii="Arial" w:eastAsia="Times New Roman" w:hAnsi="Arial" w:cs="Arial"/>
                <w:b/>
                <w:bCs/>
                <w:sz w:val="24"/>
                <w:szCs w:val="24"/>
                <w:lang w:eastAsia="en-GB"/>
              </w:rPr>
            </w:pPr>
            <w:r w:rsidRPr="00300B97">
              <w:rPr>
                <w:rFonts w:ascii="Arial" w:eastAsia="Times New Roman" w:hAnsi="Arial" w:cs="Arial"/>
                <w:b/>
                <w:bCs/>
                <w:sz w:val="24"/>
                <w:szCs w:val="24"/>
                <w:lang w:eastAsia="en-GB"/>
              </w:rPr>
              <w:t xml:space="preserve">Flood </w:t>
            </w:r>
            <w:r w:rsidRPr="00300B97">
              <w:rPr>
                <w:rFonts w:ascii="Arial" w:eastAsia="Times New Roman" w:hAnsi="Arial" w:cs="Arial"/>
                <w:b/>
                <w:sz w:val="24"/>
                <w:szCs w:val="24"/>
                <w:lang w:eastAsia="en-GB"/>
              </w:rPr>
              <w:t>Compensation</w:t>
            </w:r>
          </w:p>
          <w:p w14:paraId="5E12B856" w14:textId="59753B33" w:rsidR="00C61D8A" w:rsidRPr="00300B97" w:rsidRDefault="00C61D8A" w:rsidP="00C61D8A">
            <w:pPr>
              <w:spacing w:before="0" w:after="0"/>
              <w:ind w:left="29"/>
              <w:rPr>
                <w:rFonts w:ascii="Arial" w:eastAsia="Times New Roman" w:hAnsi="Arial" w:cs="Arial"/>
                <w:sz w:val="24"/>
                <w:szCs w:val="24"/>
                <w:lang w:eastAsia="en-GB"/>
              </w:rPr>
            </w:pPr>
            <w:r w:rsidRPr="00300B97">
              <w:rPr>
                <w:rFonts w:ascii="Arial" w:eastAsia="Times New Roman" w:hAnsi="Arial" w:cs="Arial"/>
                <w:sz w:val="24"/>
                <w:szCs w:val="24"/>
                <w:lang w:eastAsia="en-GB"/>
              </w:rPr>
              <w:t>Could the EA please confirm it is content with the volume of 550m</w:t>
            </w:r>
            <w:r w:rsidRPr="00300B97">
              <w:rPr>
                <w:rFonts w:ascii="Arial" w:eastAsia="Times New Roman" w:hAnsi="Arial" w:cs="Arial"/>
                <w:sz w:val="24"/>
                <w:szCs w:val="24"/>
                <w:vertAlign w:val="superscript"/>
                <w:lang w:eastAsia="en-GB"/>
              </w:rPr>
              <w:t>3</w:t>
            </w:r>
            <w:r w:rsidRPr="00300B97">
              <w:rPr>
                <w:rFonts w:ascii="Arial" w:eastAsia="Times New Roman" w:hAnsi="Arial" w:cs="Arial"/>
                <w:sz w:val="24"/>
                <w:szCs w:val="24"/>
                <w:lang w:eastAsia="en-GB"/>
              </w:rPr>
              <w:t xml:space="preserve"> for compensation works for loss of flood storage as set out in response to Action Point (AP) 12 in the Applicant’s Comments on Deadline 4 Submissions [REP5</w:t>
            </w:r>
            <w:r w:rsidRPr="00300B97">
              <w:rPr>
                <w:rFonts w:ascii="Arial" w:eastAsia="Times New Roman" w:hAnsi="Arial" w:cs="Arial"/>
                <w:sz w:val="24"/>
                <w:szCs w:val="24"/>
                <w:lang w:eastAsia="en-GB"/>
              </w:rPr>
              <w:noBreakHyphen/>
              <w:t>020]?</w:t>
            </w:r>
          </w:p>
        </w:tc>
      </w:tr>
    </w:tbl>
    <w:p w14:paraId="4E406B56" w14:textId="77777777" w:rsidR="006A2A9F" w:rsidRPr="00300B97" w:rsidRDefault="006A2A9F" w:rsidP="000F66F6">
      <w:pPr>
        <w:rPr>
          <w:rFonts w:ascii="Arial" w:hAnsi="Arial" w:cs="Arial"/>
        </w:rPr>
      </w:pPr>
    </w:p>
    <w:sectPr w:rsidR="006A2A9F" w:rsidRPr="00300B97" w:rsidSect="004C6447">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BBDF" w14:textId="77777777" w:rsidR="00FB1B17" w:rsidRDefault="00FB1B17" w:rsidP="000F4B4F">
      <w:pPr>
        <w:spacing w:before="0" w:after="0"/>
      </w:pPr>
      <w:r>
        <w:separator/>
      </w:r>
    </w:p>
  </w:endnote>
  <w:endnote w:type="continuationSeparator" w:id="0">
    <w:p w14:paraId="7E16696D" w14:textId="77777777" w:rsidR="00FB1B17" w:rsidRDefault="00FB1B17" w:rsidP="000F4B4F">
      <w:pPr>
        <w:spacing w:before="0" w:after="0"/>
      </w:pPr>
      <w:r>
        <w:continuationSeparator/>
      </w:r>
    </w:p>
  </w:endnote>
  <w:endnote w:type="continuationNotice" w:id="1">
    <w:p w14:paraId="2F4D164A" w14:textId="77777777" w:rsidR="00FB1B17" w:rsidRDefault="00FB1B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5196" w14:textId="77777777" w:rsidR="00772678" w:rsidRDefault="00772678" w:rsidP="006A2A9F">
    <w:pPr>
      <w:pStyle w:val="Footer"/>
      <w:jc w:val="center"/>
      <w:rPr>
        <w:smallCaps/>
        <w:sz w:val="24"/>
        <w:szCs w:val="24"/>
      </w:rPr>
    </w:pPr>
  </w:p>
  <w:p w14:paraId="52D05932" w14:textId="15C61DD6" w:rsidR="006A2A9F" w:rsidRPr="00772678" w:rsidRDefault="006A2A9F" w:rsidP="006A2A9F">
    <w:pPr>
      <w:pStyle w:val="Footer"/>
      <w:jc w:val="center"/>
      <w:rPr>
        <w:rFonts w:ascii="Arial" w:hAnsi="Arial" w:cs="Arial"/>
        <w:smallCaps/>
        <w:sz w:val="24"/>
        <w:szCs w:val="24"/>
      </w:rPr>
    </w:pPr>
    <w:r w:rsidRPr="00772678">
      <w:rPr>
        <w:rFonts w:ascii="Arial" w:hAnsi="Arial" w:cs="Arial"/>
        <w:smallCaps/>
        <w:sz w:val="24"/>
        <w:szCs w:val="24"/>
      </w:rPr>
      <w:fldChar w:fldCharType="begin"/>
    </w:r>
    <w:r w:rsidRPr="00772678">
      <w:rPr>
        <w:rFonts w:ascii="Arial" w:hAnsi="Arial" w:cs="Arial"/>
        <w:smallCaps/>
        <w:sz w:val="24"/>
        <w:szCs w:val="24"/>
      </w:rPr>
      <w:instrText xml:space="preserve"> PAGE   \* MERGEFORMAT </w:instrText>
    </w:r>
    <w:r w:rsidRPr="00772678">
      <w:rPr>
        <w:rFonts w:ascii="Arial" w:hAnsi="Arial" w:cs="Arial"/>
        <w:smallCaps/>
        <w:sz w:val="24"/>
        <w:szCs w:val="24"/>
      </w:rPr>
      <w:fldChar w:fldCharType="separate"/>
    </w:r>
    <w:r w:rsidRPr="00772678">
      <w:rPr>
        <w:rFonts w:ascii="Arial" w:hAnsi="Arial" w:cs="Arial"/>
        <w:smallCaps/>
        <w:noProof/>
        <w:sz w:val="24"/>
        <w:szCs w:val="24"/>
      </w:rPr>
      <w:t>1</w:t>
    </w:r>
    <w:r w:rsidRPr="00772678">
      <w:rPr>
        <w:rFonts w:ascii="Arial" w:hAnsi="Arial" w:cs="Arial"/>
        <w:smallCaps/>
        <w:noProof/>
        <w:sz w:val="24"/>
        <w:szCs w:val="24"/>
      </w:rPr>
      <w:fldChar w:fldCharType="end"/>
    </w:r>
  </w:p>
  <w:p w14:paraId="781EBF10" w14:textId="42B8F748" w:rsidR="000F4B4F" w:rsidRPr="00432084" w:rsidRDefault="00346F4D" w:rsidP="00432084">
    <w:pPr>
      <w:spacing w:before="0" w:after="0"/>
      <w:rPr>
        <w:rFonts w:ascii="Arial" w:hAnsi="Arial" w:cs="Arial"/>
        <w:sz w:val="18"/>
        <w:szCs w:val="18"/>
      </w:rPr>
    </w:pPr>
    <w:r w:rsidRPr="00432084">
      <w:rPr>
        <w:rFonts w:ascii="Arial" w:hAnsi="Arial" w:cs="Arial"/>
        <w:sz w:val="18"/>
        <w:szCs w:val="18"/>
      </w:rPr>
      <w:t xml:space="preserve">A47 </w:t>
    </w:r>
    <w:r w:rsidR="006D76D6" w:rsidRPr="00432084">
      <w:rPr>
        <w:rFonts w:ascii="Arial" w:hAnsi="Arial" w:cs="Arial"/>
        <w:sz w:val="18"/>
        <w:szCs w:val="18"/>
      </w:rPr>
      <w:t xml:space="preserve">Wansford </w:t>
    </w:r>
    <w:r w:rsidR="00432084" w:rsidRPr="00432084">
      <w:rPr>
        <w:rFonts w:ascii="Arial" w:hAnsi="Arial" w:cs="Arial"/>
        <w:sz w:val="18"/>
        <w:szCs w:val="18"/>
      </w:rPr>
      <w:t>t</w:t>
    </w:r>
    <w:r w:rsidR="006D76D6" w:rsidRPr="00432084">
      <w:rPr>
        <w:rFonts w:ascii="Arial" w:hAnsi="Arial" w:cs="Arial"/>
        <w:sz w:val="18"/>
        <w:szCs w:val="18"/>
      </w:rPr>
      <w:t>o Sutton Dualling Project</w:t>
    </w:r>
  </w:p>
  <w:p w14:paraId="7228C996" w14:textId="21A4823F" w:rsidR="006A2A9F" w:rsidRPr="00432084" w:rsidRDefault="006D76D6" w:rsidP="00432084">
    <w:pPr>
      <w:spacing w:before="0" w:after="0"/>
      <w:rPr>
        <w:rFonts w:ascii="Arial" w:hAnsi="Arial" w:cs="Arial"/>
        <w:sz w:val="18"/>
        <w:szCs w:val="18"/>
      </w:rPr>
    </w:pPr>
    <w:r w:rsidRPr="00432084">
      <w:rPr>
        <w:rFonts w:ascii="Arial" w:hAnsi="Arial" w:cs="Arial"/>
        <w:sz w:val="18"/>
        <w:szCs w:val="18"/>
      </w:rPr>
      <w:t>Examining Authority’s Additional Questions (Ex</w:t>
    </w:r>
    <w:r w:rsidR="00432084">
      <w:rPr>
        <w:rFonts w:ascii="Arial" w:hAnsi="Arial" w:cs="Arial"/>
        <w:sz w:val="18"/>
        <w:szCs w:val="18"/>
      </w:rPr>
      <w:t>Q</w:t>
    </w:r>
    <w:r w:rsidRPr="00432084">
      <w:rPr>
        <w:rFonts w:ascii="Arial" w:hAnsi="Arial" w:cs="Arial"/>
        <w:sz w:val="18"/>
        <w:szCs w:val="18"/>
      </w:rPr>
      <w:t>3)</w:t>
    </w:r>
  </w:p>
  <w:p w14:paraId="385EA0D1" w14:textId="77777777" w:rsidR="00E03F78" w:rsidRDefault="00E03F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3642" w14:textId="77777777" w:rsidR="00FB1B17" w:rsidRDefault="00FB1B17" w:rsidP="000F4B4F">
      <w:pPr>
        <w:spacing w:before="0" w:after="0"/>
      </w:pPr>
      <w:r>
        <w:separator/>
      </w:r>
    </w:p>
  </w:footnote>
  <w:footnote w:type="continuationSeparator" w:id="0">
    <w:p w14:paraId="3B420E98" w14:textId="77777777" w:rsidR="00FB1B17" w:rsidRDefault="00FB1B17" w:rsidP="000F4B4F">
      <w:pPr>
        <w:spacing w:before="0" w:after="0"/>
      </w:pPr>
      <w:r>
        <w:continuationSeparator/>
      </w:r>
    </w:p>
  </w:footnote>
  <w:footnote w:type="continuationNotice" w:id="1">
    <w:p w14:paraId="7C9B3D51" w14:textId="77777777" w:rsidR="00FB1B17" w:rsidRDefault="00FB1B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47A2" w14:textId="272A697F" w:rsidR="000F4B4F" w:rsidRPr="00505E19" w:rsidRDefault="000F4B4F" w:rsidP="000F4B4F">
    <w:pPr>
      <w:pStyle w:val="Header"/>
      <w:jc w:val="right"/>
      <w:rPr>
        <w:rFonts w:ascii="Arial" w:hAnsi="Arial" w:cs="Arial"/>
        <w:sz w:val="24"/>
        <w:szCs w:val="24"/>
      </w:rPr>
    </w:pPr>
    <w:r w:rsidRPr="00505E19">
      <w:rPr>
        <w:rFonts w:ascii="Arial" w:hAnsi="Arial" w:cs="Arial"/>
        <w:sz w:val="24"/>
        <w:szCs w:val="24"/>
      </w:rPr>
      <w:t xml:space="preserve">ExQ3: </w:t>
    </w:r>
    <w:r w:rsidR="00900146" w:rsidRPr="00505E19">
      <w:rPr>
        <w:rFonts w:ascii="Arial" w:hAnsi="Arial" w:cs="Arial"/>
        <w:sz w:val="24"/>
        <w:szCs w:val="24"/>
      </w:rPr>
      <w:t>24</w:t>
    </w:r>
    <w:r w:rsidRPr="00505E19">
      <w:rPr>
        <w:rFonts w:ascii="Arial" w:hAnsi="Arial" w:cs="Arial"/>
        <w:sz w:val="24"/>
        <w:szCs w:val="24"/>
      </w:rPr>
      <w:t xml:space="preserve"> May 2022</w:t>
    </w:r>
  </w:p>
  <w:p w14:paraId="7969E368" w14:textId="6C43C334" w:rsidR="000F4B4F" w:rsidRPr="00505E19" w:rsidRDefault="000F4B4F" w:rsidP="000F4B4F">
    <w:pPr>
      <w:pStyle w:val="Header"/>
      <w:jc w:val="right"/>
      <w:rPr>
        <w:rFonts w:ascii="Arial" w:hAnsi="Arial" w:cs="Arial"/>
        <w:sz w:val="24"/>
        <w:szCs w:val="24"/>
      </w:rPr>
    </w:pPr>
    <w:r w:rsidRPr="00505E19">
      <w:rPr>
        <w:rFonts w:ascii="Arial" w:hAnsi="Arial" w:cs="Arial"/>
        <w:sz w:val="24"/>
        <w:szCs w:val="24"/>
      </w:rPr>
      <w:t xml:space="preserve">Date for responses: </w:t>
    </w:r>
    <w:r w:rsidR="00DD3756" w:rsidRPr="00505E19">
      <w:rPr>
        <w:rFonts w:ascii="Arial" w:hAnsi="Arial" w:cs="Arial"/>
        <w:sz w:val="24"/>
        <w:szCs w:val="24"/>
      </w:rPr>
      <w:t>14 June</w:t>
    </w:r>
    <w:r w:rsidRPr="00505E19">
      <w:rPr>
        <w:rFonts w:ascii="Arial" w:hAnsi="Arial" w:cs="Arial"/>
        <w:sz w:val="24"/>
        <w:szCs w:val="24"/>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2F06" w14:textId="4443629E" w:rsidR="000F4B4F" w:rsidRPr="009A10F3" w:rsidRDefault="000F4B4F" w:rsidP="000F4B4F">
    <w:pPr>
      <w:pStyle w:val="Header"/>
      <w:jc w:val="right"/>
    </w:pPr>
    <w:r w:rsidRPr="009A10F3">
      <w:t xml:space="preserve">ExQ3: </w:t>
    </w:r>
    <w:r w:rsidR="009A10F3" w:rsidRPr="009A10F3">
      <w:t>24</w:t>
    </w:r>
    <w:r w:rsidRPr="009A10F3">
      <w:t xml:space="preserve"> May 2022</w:t>
    </w:r>
  </w:p>
  <w:p w14:paraId="05FEB979" w14:textId="0672EB6B" w:rsidR="000F4B4F" w:rsidRDefault="000F4B4F" w:rsidP="000F4B4F">
    <w:pPr>
      <w:pStyle w:val="Header"/>
      <w:jc w:val="right"/>
    </w:pPr>
    <w:r w:rsidRPr="00C948BC">
      <w:t xml:space="preserve">Date for responses: </w:t>
    </w:r>
    <w:r w:rsidR="00C948BC" w:rsidRPr="00C948BC">
      <w:t>14 June</w:t>
    </w:r>
    <w:r w:rsidRPr="00C948BC">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4A7"/>
    <w:multiLevelType w:val="hybridMultilevel"/>
    <w:tmpl w:val="05EC67DE"/>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 w15:restartNumberingAfterBreak="0">
    <w:nsid w:val="0A464ABC"/>
    <w:multiLevelType w:val="hybridMultilevel"/>
    <w:tmpl w:val="62E206B8"/>
    <w:lvl w:ilvl="0" w:tplc="27207002">
      <w:start w:val="1"/>
      <w:numFmt w:val="decimal"/>
      <w:lvlText w:val="3.4.%1"/>
      <w:lvlJc w:val="left"/>
      <w:pPr>
        <w:ind w:left="360" w:hanging="360"/>
      </w:pPr>
      <w:rPr>
        <w:rFonts w:ascii="Verdana" w:hAnsi="Verdana" w:hint="default"/>
        <w:b w:val="0"/>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0956C9"/>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3" w15:restartNumberingAfterBreak="0">
    <w:nsid w:val="162F367A"/>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4" w15:restartNumberingAfterBreak="0">
    <w:nsid w:val="16962654"/>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5" w15:restartNumberingAfterBreak="0">
    <w:nsid w:val="16EF0337"/>
    <w:multiLevelType w:val="hybridMultilevel"/>
    <w:tmpl w:val="4970BB98"/>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6" w15:restartNumberingAfterBreak="0">
    <w:nsid w:val="184D6639"/>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7" w15:restartNumberingAfterBreak="0">
    <w:nsid w:val="1FC861BD"/>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8" w15:restartNumberingAfterBreak="0">
    <w:nsid w:val="20760EF7"/>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9" w15:restartNumberingAfterBreak="0">
    <w:nsid w:val="2F2A2916"/>
    <w:multiLevelType w:val="hybridMultilevel"/>
    <w:tmpl w:val="4970BB98"/>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10" w15:restartNumberingAfterBreak="0">
    <w:nsid w:val="2FE46793"/>
    <w:multiLevelType w:val="hybridMultilevel"/>
    <w:tmpl w:val="8634E8E2"/>
    <w:lvl w:ilvl="0" w:tplc="EB56D996">
      <w:start w:val="1"/>
      <w:numFmt w:val="lowerLetter"/>
      <w:lvlText w:val="(%1)"/>
      <w:lvlJc w:val="left"/>
      <w:pPr>
        <w:ind w:left="749" w:hanging="720"/>
      </w:pPr>
      <w:rPr>
        <w:b w:val="0"/>
      </w:r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11" w15:restartNumberingAfterBreak="0">
    <w:nsid w:val="46A02F99"/>
    <w:multiLevelType w:val="hybridMultilevel"/>
    <w:tmpl w:val="811C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73F0A"/>
    <w:multiLevelType w:val="hybridMultilevel"/>
    <w:tmpl w:val="4970BB98"/>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13" w15:restartNumberingAfterBreak="0">
    <w:nsid w:val="54DE0FB1"/>
    <w:multiLevelType w:val="hybridMultilevel"/>
    <w:tmpl w:val="4970BB98"/>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14" w15:restartNumberingAfterBreak="0">
    <w:nsid w:val="578E1D53"/>
    <w:multiLevelType w:val="multilevel"/>
    <w:tmpl w:val="1974F0E4"/>
    <w:lvl w:ilvl="0">
      <w:start w:val="1"/>
      <w:numFmt w:val="decimal"/>
      <w:lvlText w:val="%1."/>
      <w:lvlJc w:val="left"/>
      <w:pPr>
        <w:ind w:left="360" w:hanging="360"/>
      </w:pPr>
    </w:lvl>
    <w:lvl w:ilvl="1">
      <w:start w:val="1"/>
      <w:numFmt w:val="decimal"/>
      <w:lvlText w:val="2.1.%2."/>
      <w:lvlJc w:val="left"/>
      <w:pPr>
        <w:ind w:left="1142" w:hanging="432"/>
      </w:pPr>
      <w:rPr>
        <w:rFonts w:ascii="Verdana" w:hAnsi="Verdana" w:hint="default"/>
        <w:b w:val="0"/>
        <w:i w:val="0"/>
        <w:sz w:val="22"/>
      </w:rPr>
    </w:lvl>
    <w:lvl w:ilvl="2">
      <w:start w:val="1"/>
      <w:numFmt w:val="decimal"/>
      <w:lvlText w:val="3.3.%3"/>
      <w:lvlJc w:val="left"/>
      <w:pPr>
        <w:ind w:left="2064" w:hanging="504"/>
      </w:pPr>
      <w:rPr>
        <w:rFonts w:ascii="Verdana" w:hAnsi="Verdana" w:hint="default"/>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352E7E"/>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16" w15:restartNumberingAfterBreak="0">
    <w:nsid w:val="6172293D"/>
    <w:multiLevelType w:val="hybridMultilevel"/>
    <w:tmpl w:val="4970BB98"/>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17" w15:restartNumberingAfterBreak="0">
    <w:nsid w:val="638D6330"/>
    <w:multiLevelType w:val="hybridMultilevel"/>
    <w:tmpl w:val="0802800C"/>
    <w:lvl w:ilvl="0" w:tplc="F468DDAE">
      <w:start w:val="1"/>
      <w:numFmt w:val="decimal"/>
      <w:lvlText w:val="3.1.%1"/>
      <w:lvlJc w:val="left"/>
      <w:pPr>
        <w:ind w:left="360" w:hanging="360"/>
      </w:pPr>
      <w:rPr>
        <w:rFonts w:ascii="Verdana" w:hAnsi="Verdana"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8D4223"/>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19" w15:restartNumberingAfterBreak="0">
    <w:nsid w:val="6DCA27A0"/>
    <w:multiLevelType w:val="hybridMultilevel"/>
    <w:tmpl w:val="DD6AD4A8"/>
    <w:lvl w:ilvl="0" w:tplc="4D6698E6">
      <w:start w:val="1"/>
      <w:numFmt w:val="lowerLetter"/>
      <w:lvlText w:val="(%1)"/>
      <w:lvlJc w:val="left"/>
      <w:pPr>
        <w:ind w:left="749" w:hanging="720"/>
      </w:pPr>
    </w:lvl>
    <w:lvl w:ilvl="1" w:tplc="23EA4054">
      <w:start w:val="1"/>
      <w:numFmt w:val="lowerRoman"/>
      <w:lvlText w:val="(%2)"/>
      <w:lvlJc w:val="left"/>
      <w:pPr>
        <w:ind w:left="1109" w:hanging="360"/>
      </w:pPr>
      <w:rPr>
        <w:b w:val="0"/>
        <w:i w:val="0"/>
      </w:r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20" w15:restartNumberingAfterBreak="0">
    <w:nsid w:val="6F921672"/>
    <w:multiLevelType w:val="hybridMultilevel"/>
    <w:tmpl w:val="20768FFC"/>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21" w15:restartNumberingAfterBreak="0">
    <w:nsid w:val="75063649"/>
    <w:multiLevelType w:val="hybridMultilevel"/>
    <w:tmpl w:val="4970BB98"/>
    <w:lvl w:ilvl="0" w:tplc="4D6698E6">
      <w:start w:val="1"/>
      <w:numFmt w:val="lowerLetter"/>
      <w:lvlText w:val="(%1)"/>
      <w:lvlJc w:val="left"/>
      <w:pPr>
        <w:ind w:left="749" w:hanging="72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abstractNum w:abstractNumId="22" w15:restartNumberingAfterBreak="0">
    <w:nsid w:val="79395744"/>
    <w:multiLevelType w:val="multilevel"/>
    <w:tmpl w:val="9926C4AA"/>
    <w:lvl w:ilvl="0">
      <w:start w:val="1"/>
      <w:numFmt w:val="decimal"/>
      <w:lvlText w:val="%1."/>
      <w:lvlJc w:val="left"/>
      <w:pPr>
        <w:ind w:left="360" w:hanging="360"/>
      </w:pPr>
    </w:lvl>
    <w:lvl w:ilvl="1">
      <w:start w:val="1"/>
      <w:numFmt w:val="decimal"/>
      <w:lvlText w:val="2.1.%2."/>
      <w:lvlJc w:val="left"/>
      <w:pPr>
        <w:ind w:left="1142" w:hanging="432"/>
      </w:pPr>
      <w:rPr>
        <w:rFonts w:ascii="Verdana" w:hAnsi="Verdana" w:hint="default"/>
        <w:b w:val="0"/>
        <w:i w:val="0"/>
        <w:sz w:val="2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7"/>
  </w:num>
  <w:num w:numId="18">
    <w:abstractNumId w:val="0"/>
  </w:num>
  <w:num w:numId="19">
    <w:abstractNumId w:val="15"/>
  </w:num>
  <w:num w:numId="20">
    <w:abstractNumId w:val="5"/>
  </w:num>
  <w:num w:numId="21">
    <w:abstractNumId w:val="22"/>
  </w:num>
  <w:num w:numId="22">
    <w:abstractNumId w:val="17"/>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47"/>
    <w:rsid w:val="00032AAD"/>
    <w:rsid w:val="00051FE4"/>
    <w:rsid w:val="000525D2"/>
    <w:rsid w:val="00061D87"/>
    <w:rsid w:val="000634BC"/>
    <w:rsid w:val="0006692A"/>
    <w:rsid w:val="00070DEA"/>
    <w:rsid w:val="00093F18"/>
    <w:rsid w:val="00095433"/>
    <w:rsid w:val="000A1725"/>
    <w:rsid w:val="000B134A"/>
    <w:rsid w:val="000C3A25"/>
    <w:rsid w:val="000C6B3B"/>
    <w:rsid w:val="000D19E2"/>
    <w:rsid w:val="000D7D31"/>
    <w:rsid w:val="000E6630"/>
    <w:rsid w:val="000F3F47"/>
    <w:rsid w:val="000F4B4F"/>
    <w:rsid w:val="000F5CE6"/>
    <w:rsid w:val="000F66F6"/>
    <w:rsid w:val="0010026A"/>
    <w:rsid w:val="00103AAD"/>
    <w:rsid w:val="001059DD"/>
    <w:rsid w:val="00116F7D"/>
    <w:rsid w:val="00132E38"/>
    <w:rsid w:val="0013487C"/>
    <w:rsid w:val="00142937"/>
    <w:rsid w:val="00146141"/>
    <w:rsid w:val="0015150B"/>
    <w:rsid w:val="00156837"/>
    <w:rsid w:val="00160F1B"/>
    <w:rsid w:val="00161F5E"/>
    <w:rsid w:val="00162B23"/>
    <w:rsid w:val="00165B6B"/>
    <w:rsid w:val="001661E8"/>
    <w:rsid w:val="00167979"/>
    <w:rsid w:val="00172B23"/>
    <w:rsid w:val="00184DF7"/>
    <w:rsid w:val="00191A8B"/>
    <w:rsid w:val="0019637B"/>
    <w:rsid w:val="001A7E27"/>
    <w:rsid w:val="001A7E49"/>
    <w:rsid w:val="001B610C"/>
    <w:rsid w:val="001C2910"/>
    <w:rsid w:val="001C769A"/>
    <w:rsid w:val="001D0619"/>
    <w:rsid w:val="001D309F"/>
    <w:rsid w:val="001D47A5"/>
    <w:rsid w:val="001E1C9A"/>
    <w:rsid w:val="001E3AC5"/>
    <w:rsid w:val="001F2CB1"/>
    <w:rsid w:val="001F780D"/>
    <w:rsid w:val="00200F5C"/>
    <w:rsid w:val="00203384"/>
    <w:rsid w:val="00205E99"/>
    <w:rsid w:val="00211844"/>
    <w:rsid w:val="0021192B"/>
    <w:rsid w:val="00221580"/>
    <w:rsid w:val="0025659D"/>
    <w:rsid w:val="002703F4"/>
    <w:rsid w:val="0027772C"/>
    <w:rsid w:val="0028019C"/>
    <w:rsid w:val="00292860"/>
    <w:rsid w:val="002C1244"/>
    <w:rsid w:val="002C3B4E"/>
    <w:rsid w:val="002D0DAC"/>
    <w:rsid w:val="002D30FA"/>
    <w:rsid w:val="002E584C"/>
    <w:rsid w:val="002E7B73"/>
    <w:rsid w:val="002F58C0"/>
    <w:rsid w:val="00300B97"/>
    <w:rsid w:val="00300D03"/>
    <w:rsid w:val="00305593"/>
    <w:rsid w:val="00316485"/>
    <w:rsid w:val="00346F4D"/>
    <w:rsid w:val="003619AC"/>
    <w:rsid w:val="00364B85"/>
    <w:rsid w:val="003865FA"/>
    <w:rsid w:val="003910A9"/>
    <w:rsid w:val="0039219D"/>
    <w:rsid w:val="00395C88"/>
    <w:rsid w:val="003B2D58"/>
    <w:rsid w:val="003C0715"/>
    <w:rsid w:val="003C0A96"/>
    <w:rsid w:val="003C367C"/>
    <w:rsid w:val="003C638C"/>
    <w:rsid w:val="003C76AE"/>
    <w:rsid w:val="003D3D59"/>
    <w:rsid w:val="003E01B5"/>
    <w:rsid w:val="003F01B2"/>
    <w:rsid w:val="003F51B6"/>
    <w:rsid w:val="00400ACF"/>
    <w:rsid w:val="00406AD6"/>
    <w:rsid w:val="0042513C"/>
    <w:rsid w:val="00427D4F"/>
    <w:rsid w:val="00432084"/>
    <w:rsid w:val="00440347"/>
    <w:rsid w:val="004556A6"/>
    <w:rsid w:val="00462A1D"/>
    <w:rsid w:val="00466EFA"/>
    <w:rsid w:val="00472C6A"/>
    <w:rsid w:val="004833C1"/>
    <w:rsid w:val="00484002"/>
    <w:rsid w:val="00490505"/>
    <w:rsid w:val="004956B8"/>
    <w:rsid w:val="004A0FCC"/>
    <w:rsid w:val="004A5ACE"/>
    <w:rsid w:val="004B6D0C"/>
    <w:rsid w:val="004B7130"/>
    <w:rsid w:val="004C5918"/>
    <w:rsid w:val="004C6447"/>
    <w:rsid w:val="004E12DE"/>
    <w:rsid w:val="004E1DDA"/>
    <w:rsid w:val="004E4281"/>
    <w:rsid w:val="004E4460"/>
    <w:rsid w:val="004E6CB9"/>
    <w:rsid w:val="004F4825"/>
    <w:rsid w:val="005045C9"/>
    <w:rsid w:val="00504F82"/>
    <w:rsid w:val="00505E19"/>
    <w:rsid w:val="00510F60"/>
    <w:rsid w:val="00514AB3"/>
    <w:rsid w:val="005163E6"/>
    <w:rsid w:val="00525926"/>
    <w:rsid w:val="00541AE8"/>
    <w:rsid w:val="00544442"/>
    <w:rsid w:val="00547403"/>
    <w:rsid w:val="0055010F"/>
    <w:rsid w:val="00551B0D"/>
    <w:rsid w:val="0055417D"/>
    <w:rsid w:val="0055589D"/>
    <w:rsid w:val="005735EC"/>
    <w:rsid w:val="00575AA1"/>
    <w:rsid w:val="00575EA7"/>
    <w:rsid w:val="0057772E"/>
    <w:rsid w:val="00592A33"/>
    <w:rsid w:val="00593052"/>
    <w:rsid w:val="005A2AFF"/>
    <w:rsid w:val="005B1872"/>
    <w:rsid w:val="005B6B91"/>
    <w:rsid w:val="005B79FA"/>
    <w:rsid w:val="005C6FD3"/>
    <w:rsid w:val="005E6BF0"/>
    <w:rsid w:val="005F2E38"/>
    <w:rsid w:val="005F3814"/>
    <w:rsid w:val="00602C3E"/>
    <w:rsid w:val="006061A4"/>
    <w:rsid w:val="0060623B"/>
    <w:rsid w:val="0060776B"/>
    <w:rsid w:val="0061191F"/>
    <w:rsid w:val="006136EB"/>
    <w:rsid w:val="00617960"/>
    <w:rsid w:val="00620AD6"/>
    <w:rsid w:val="00620CC0"/>
    <w:rsid w:val="006365F0"/>
    <w:rsid w:val="00666598"/>
    <w:rsid w:val="00670DA5"/>
    <w:rsid w:val="00687C41"/>
    <w:rsid w:val="00694E07"/>
    <w:rsid w:val="006A2A9F"/>
    <w:rsid w:val="006B1C56"/>
    <w:rsid w:val="006B4A57"/>
    <w:rsid w:val="006B619E"/>
    <w:rsid w:val="006C246F"/>
    <w:rsid w:val="006C4789"/>
    <w:rsid w:val="006C595D"/>
    <w:rsid w:val="006D3C2B"/>
    <w:rsid w:val="006D76D6"/>
    <w:rsid w:val="006E3D2E"/>
    <w:rsid w:val="006F24A4"/>
    <w:rsid w:val="006F7A0E"/>
    <w:rsid w:val="007017D6"/>
    <w:rsid w:val="00704178"/>
    <w:rsid w:val="00705DB6"/>
    <w:rsid w:val="00710E52"/>
    <w:rsid w:val="00712D57"/>
    <w:rsid w:val="00722700"/>
    <w:rsid w:val="0072369C"/>
    <w:rsid w:val="00724E0E"/>
    <w:rsid w:val="007357EA"/>
    <w:rsid w:val="00742378"/>
    <w:rsid w:val="00743B67"/>
    <w:rsid w:val="00743F7C"/>
    <w:rsid w:val="00745383"/>
    <w:rsid w:val="00755D7E"/>
    <w:rsid w:val="00763239"/>
    <w:rsid w:val="00766C0B"/>
    <w:rsid w:val="007712A4"/>
    <w:rsid w:val="00772513"/>
    <w:rsid w:val="00772678"/>
    <w:rsid w:val="007741D8"/>
    <w:rsid w:val="0077515A"/>
    <w:rsid w:val="00775523"/>
    <w:rsid w:val="00777C04"/>
    <w:rsid w:val="00777C84"/>
    <w:rsid w:val="007865D8"/>
    <w:rsid w:val="007B5566"/>
    <w:rsid w:val="007B7170"/>
    <w:rsid w:val="007C0251"/>
    <w:rsid w:val="007C22AF"/>
    <w:rsid w:val="007D2964"/>
    <w:rsid w:val="007E2854"/>
    <w:rsid w:val="007E60E8"/>
    <w:rsid w:val="00800A7D"/>
    <w:rsid w:val="00804278"/>
    <w:rsid w:val="00811577"/>
    <w:rsid w:val="008116E0"/>
    <w:rsid w:val="0081471E"/>
    <w:rsid w:val="008216A5"/>
    <w:rsid w:val="00837459"/>
    <w:rsid w:val="00843E12"/>
    <w:rsid w:val="00844F7E"/>
    <w:rsid w:val="008544FA"/>
    <w:rsid w:val="00864246"/>
    <w:rsid w:val="0089262E"/>
    <w:rsid w:val="00895E52"/>
    <w:rsid w:val="008A4A65"/>
    <w:rsid w:val="008B1F01"/>
    <w:rsid w:val="008C56BE"/>
    <w:rsid w:val="008C6BC5"/>
    <w:rsid w:val="008E14B8"/>
    <w:rsid w:val="008E1CCD"/>
    <w:rsid w:val="008F0BE1"/>
    <w:rsid w:val="008F243F"/>
    <w:rsid w:val="00900146"/>
    <w:rsid w:val="009129FE"/>
    <w:rsid w:val="0091346B"/>
    <w:rsid w:val="00914FCE"/>
    <w:rsid w:val="00925169"/>
    <w:rsid w:val="00935742"/>
    <w:rsid w:val="0094032D"/>
    <w:rsid w:val="009456D9"/>
    <w:rsid w:val="00945C08"/>
    <w:rsid w:val="00953858"/>
    <w:rsid w:val="009546C7"/>
    <w:rsid w:val="00961D11"/>
    <w:rsid w:val="009655F3"/>
    <w:rsid w:val="00971F1B"/>
    <w:rsid w:val="009755F4"/>
    <w:rsid w:val="00980A6E"/>
    <w:rsid w:val="009942DC"/>
    <w:rsid w:val="009952F1"/>
    <w:rsid w:val="009A10F3"/>
    <w:rsid w:val="009A65FD"/>
    <w:rsid w:val="009B716D"/>
    <w:rsid w:val="009C0E06"/>
    <w:rsid w:val="009C608A"/>
    <w:rsid w:val="009D2254"/>
    <w:rsid w:val="009E0EE5"/>
    <w:rsid w:val="009E5211"/>
    <w:rsid w:val="00A01E3F"/>
    <w:rsid w:val="00A03419"/>
    <w:rsid w:val="00A0592A"/>
    <w:rsid w:val="00A07C72"/>
    <w:rsid w:val="00A301E0"/>
    <w:rsid w:val="00A31379"/>
    <w:rsid w:val="00A445C7"/>
    <w:rsid w:val="00A50735"/>
    <w:rsid w:val="00A52252"/>
    <w:rsid w:val="00A64721"/>
    <w:rsid w:val="00A66B43"/>
    <w:rsid w:val="00A7050F"/>
    <w:rsid w:val="00A77214"/>
    <w:rsid w:val="00A776F9"/>
    <w:rsid w:val="00A8084C"/>
    <w:rsid w:val="00A92A22"/>
    <w:rsid w:val="00A95B8C"/>
    <w:rsid w:val="00AA3DEE"/>
    <w:rsid w:val="00AA6E46"/>
    <w:rsid w:val="00AC2A8A"/>
    <w:rsid w:val="00AC602B"/>
    <w:rsid w:val="00AD4E28"/>
    <w:rsid w:val="00AD662F"/>
    <w:rsid w:val="00AE3374"/>
    <w:rsid w:val="00AE7E97"/>
    <w:rsid w:val="00B07A01"/>
    <w:rsid w:val="00B300FC"/>
    <w:rsid w:val="00B30FBF"/>
    <w:rsid w:val="00B3221B"/>
    <w:rsid w:val="00B36B49"/>
    <w:rsid w:val="00B456B0"/>
    <w:rsid w:val="00B46DF1"/>
    <w:rsid w:val="00B4766B"/>
    <w:rsid w:val="00B51456"/>
    <w:rsid w:val="00B51F0F"/>
    <w:rsid w:val="00B67767"/>
    <w:rsid w:val="00B71044"/>
    <w:rsid w:val="00B77F00"/>
    <w:rsid w:val="00B85834"/>
    <w:rsid w:val="00B90AC5"/>
    <w:rsid w:val="00BA319D"/>
    <w:rsid w:val="00BA6D42"/>
    <w:rsid w:val="00BB3FA8"/>
    <w:rsid w:val="00BC50F8"/>
    <w:rsid w:val="00BD1C32"/>
    <w:rsid w:val="00BD7ECC"/>
    <w:rsid w:val="00BE1159"/>
    <w:rsid w:val="00BF0984"/>
    <w:rsid w:val="00BF2A09"/>
    <w:rsid w:val="00BF6995"/>
    <w:rsid w:val="00C07368"/>
    <w:rsid w:val="00C14723"/>
    <w:rsid w:val="00C16E3D"/>
    <w:rsid w:val="00C17E7E"/>
    <w:rsid w:val="00C2031E"/>
    <w:rsid w:val="00C2306A"/>
    <w:rsid w:val="00C25AC8"/>
    <w:rsid w:val="00C26819"/>
    <w:rsid w:val="00C315FC"/>
    <w:rsid w:val="00C34287"/>
    <w:rsid w:val="00C34E7D"/>
    <w:rsid w:val="00C42772"/>
    <w:rsid w:val="00C61D8A"/>
    <w:rsid w:val="00C758BC"/>
    <w:rsid w:val="00C77C27"/>
    <w:rsid w:val="00C83085"/>
    <w:rsid w:val="00C85496"/>
    <w:rsid w:val="00C90BA9"/>
    <w:rsid w:val="00C91B5C"/>
    <w:rsid w:val="00C92BCA"/>
    <w:rsid w:val="00C92D81"/>
    <w:rsid w:val="00C948BC"/>
    <w:rsid w:val="00CA16B6"/>
    <w:rsid w:val="00CA4BBA"/>
    <w:rsid w:val="00CC021F"/>
    <w:rsid w:val="00CC3E20"/>
    <w:rsid w:val="00CC5931"/>
    <w:rsid w:val="00CF314B"/>
    <w:rsid w:val="00CF3EE3"/>
    <w:rsid w:val="00CF498E"/>
    <w:rsid w:val="00CF72C3"/>
    <w:rsid w:val="00CF7ACF"/>
    <w:rsid w:val="00D06F2B"/>
    <w:rsid w:val="00D10C02"/>
    <w:rsid w:val="00D116E5"/>
    <w:rsid w:val="00D25DD9"/>
    <w:rsid w:val="00D339B4"/>
    <w:rsid w:val="00D479D3"/>
    <w:rsid w:val="00D50F5A"/>
    <w:rsid w:val="00D51172"/>
    <w:rsid w:val="00D5165D"/>
    <w:rsid w:val="00D52758"/>
    <w:rsid w:val="00D55668"/>
    <w:rsid w:val="00D61FA0"/>
    <w:rsid w:val="00D62337"/>
    <w:rsid w:val="00D74093"/>
    <w:rsid w:val="00D833A8"/>
    <w:rsid w:val="00D8401F"/>
    <w:rsid w:val="00D8616A"/>
    <w:rsid w:val="00DA2084"/>
    <w:rsid w:val="00DA61C7"/>
    <w:rsid w:val="00DC56FB"/>
    <w:rsid w:val="00DD3756"/>
    <w:rsid w:val="00DE0096"/>
    <w:rsid w:val="00DE4109"/>
    <w:rsid w:val="00DE66FD"/>
    <w:rsid w:val="00DE6F99"/>
    <w:rsid w:val="00E01673"/>
    <w:rsid w:val="00E01B89"/>
    <w:rsid w:val="00E03F78"/>
    <w:rsid w:val="00E14182"/>
    <w:rsid w:val="00E178E4"/>
    <w:rsid w:val="00E24A84"/>
    <w:rsid w:val="00E4076D"/>
    <w:rsid w:val="00E42246"/>
    <w:rsid w:val="00E46B14"/>
    <w:rsid w:val="00E53E27"/>
    <w:rsid w:val="00E60682"/>
    <w:rsid w:val="00E87757"/>
    <w:rsid w:val="00E93E96"/>
    <w:rsid w:val="00E93FCA"/>
    <w:rsid w:val="00E95349"/>
    <w:rsid w:val="00E95A7C"/>
    <w:rsid w:val="00E96851"/>
    <w:rsid w:val="00E969DF"/>
    <w:rsid w:val="00EA6596"/>
    <w:rsid w:val="00EA6660"/>
    <w:rsid w:val="00EC21D9"/>
    <w:rsid w:val="00EC6856"/>
    <w:rsid w:val="00EE10D6"/>
    <w:rsid w:val="00EE2383"/>
    <w:rsid w:val="00EE60C1"/>
    <w:rsid w:val="00EF779B"/>
    <w:rsid w:val="00F00D2B"/>
    <w:rsid w:val="00F0144E"/>
    <w:rsid w:val="00F0385D"/>
    <w:rsid w:val="00F13ABA"/>
    <w:rsid w:val="00F1507E"/>
    <w:rsid w:val="00F22BF7"/>
    <w:rsid w:val="00F238FE"/>
    <w:rsid w:val="00F27F80"/>
    <w:rsid w:val="00F30890"/>
    <w:rsid w:val="00F50C8D"/>
    <w:rsid w:val="00F521AA"/>
    <w:rsid w:val="00F66C87"/>
    <w:rsid w:val="00F75704"/>
    <w:rsid w:val="00F83C22"/>
    <w:rsid w:val="00F86EC0"/>
    <w:rsid w:val="00F92BC2"/>
    <w:rsid w:val="00F97842"/>
    <w:rsid w:val="00FA0C5D"/>
    <w:rsid w:val="00FA1ED3"/>
    <w:rsid w:val="00FA632D"/>
    <w:rsid w:val="00FB161E"/>
    <w:rsid w:val="00FB1B17"/>
    <w:rsid w:val="00FB38E6"/>
    <w:rsid w:val="00FB5273"/>
    <w:rsid w:val="00FC17D4"/>
    <w:rsid w:val="00FD54B1"/>
    <w:rsid w:val="00FD72BA"/>
    <w:rsid w:val="00FE09D9"/>
    <w:rsid w:val="00FE0BFB"/>
    <w:rsid w:val="00FE4329"/>
    <w:rsid w:val="00FF0F58"/>
    <w:rsid w:val="00FF1EB5"/>
    <w:rsid w:val="00FF2A58"/>
    <w:rsid w:val="00FF5AFD"/>
    <w:rsid w:val="00FF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9DA2C"/>
  <w15:chartTrackingRefBased/>
  <w15:docId w15:val="{C6DFDF45-7FDD-40C0-A0FA-5338CE47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E8"/>
    <w:pPr>
      <w:spacing w:before="60" w:after="18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447"/>
    <w:rPr>
      <w:color w:val="0563C1" w:themeColor="hyperlink"/>
      <w:u w:val="single"/>
    </w:rPr>
  </w:style>
  <w:style w:type="character" w:styleId="UnresolvedMention">
    <w:name w:val="Unresolved Mention"/>
    <w:basedOn w:val="DefaultParagraphFont"/>
    <w:uiPriority w:val="99"/>
    <w:semiHidden/>
    <w:unhideWhenUsed/>
    <w:rsid w:val="004C6447"/>
    <w:rPr>
      <w:color w:val="605E5C"/>
      <w:shd w:val="clear" w:color="auto" w:fill="E1DFDD"/>
    </w:rPr>
  </w:style>
  <w:style w:type="paragraph" w:styleId="Header">
    <w:name w:val="header"/>
    <w:basedOn w:val="Normal"/>
    <w:link w:val="HeaderChar"/>
    <w:uiPriority w:val="99"/>
    <w:unhideWhenUsed/>
    <w:rsid w:val="000F4B4F"/>
    <w:pPr>
      <w:tabs>
        <w:tab w:val="center" w:pos="4513"/>
        <w:tab w:val="right" w:pos="9026"/>
      </w:tabs>
      <w:spacing w:before="0" w:after="0"/>
    </w:pPr>
  </w:style>
  <w:style w:type="character" w:customStyle="1" w:styleId="HeaderChar">
    <w:name w:val="Header Char"/>
    <w:basedOn w:val="DefaultParagraphFont"/>
    <w:link w:val="Header"/>
    <w:uiPriority w:val="99"/>
    <w:rsid w:val="000F4B4F"/>
    <w:rPr>
      <w:rFonts w:ascii="Verdana" w:hAnsi="Verdana"/>
    </w:rPr>
  </w:style>
  <w:style w:type="paragraph" w:styleId="Footer">
    <w:name w:val="footer"/>
    <w:basedOn w:val="Normal"/>
    <w:link w:val="FooterChar"/>
    <w:uiPriority w:val="99"/>
    <w:unhideWhenUsed/>
    <w:rsid w:val="000F4B4F"/>
    <w:pPr>
      <w:tabs>
        <w:tab w:val="center" w:pos="4513"/>
        <w:tab w:val="right" w:pos="9026"/>
      </w:tabs>
      <w:spacing w:before="0" w:after="0"/>
    </w:pPr>
  </w:style>
  <w:style w:type="character" w:customStyle="1" w:styleId="FooterChar">
    <w:name w:val="Footer Char"/>
    <w:basedOn w:val="DefaultParagraphFont"/>
    <w:link w:val="Footer"/>
    <w:uiPriority w:val="99"/>
    <w:rsid w:val="000F4B4F"/>
    <w:rPr>
      <w:rFonts w:ascii="Verdana" w:hAnsi="Verdana"/>
    </w:rPr>
  </w:style>
  <w:style w:type="paragraph" w:styleId="ListParagraph">
    <w:name w:val="List Paragraph"/>
    <w:basedOn w:val="Normal"/>
    <w:uiPriority w:val="34"/>
    <w:qFormat/>
    <w:rsid w:val="00C315FC"/>
    <w:pPr>
      <w:ind w:left="720"/>
      <w:contextualSpacing/>
    </w:pPr>
  </w:style>
  <w:style w:type="character" w:styleId="CommentReference">
    <w:name w:val="annotation reference"/>
    <w:basedOn w:val="DefaultParagraphFont"/>
    <w:uiPriority w:val="99"/>
    <w:semiHidden/>
    <w:unhideWhenUsed/>
    <w:rsid w:val="004E12DE"/>
    <w:rPr>
      <w:sz w:val="16"/>
      <w:szCs w:val="16"/>
    </w:rPr>
  </w:style>
  <w:style w:type="paragraph" w:styleId="CommentText">
    <w:name w:val="annotation text"/>
    <w:basedOn w:val="Normal"/>
    <w:link w:val="CommentTextChar"/>
    <w:uiPriority w:val="99"/>
    <w:semiHidden/>
    <w:unhideWhenUsed/>
    <w:rsid w:val="004E12DE"/>
    <w:rPr>
      <w:sz w:val="20"/>
      <w:szCs w:val="20"/>
    </w:rPr>
  </w:style>
  <w:style w:type="character" w:customStyle="1" w:styleId="CommentTextChar">
    <w:name w:val="Comment Text Char"/>
    <w:basedOn w:val="DefaultParagraphFont"/>
    <w:link w:val="CommentText"/>
    <w:uiPriority w:val="99"/>
    <w:semiHidden/>
    <w:rsid w:val="004E12D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E12DE"/>
    <w:rPr>
      <w:b/>
      <w:bCs/>
    </w:rPr>
  </w:style>
  <w:style w:type="character" w:customStyle="1" w:styleId="CommentSubjectChar">
    <w:name w:val="Comment Subject Char"/>
    <w:basedOn w:val="CommentTextChar"/>
    <w:link w:val="CommentSubject"/>
    <w:uiPriority w:val="99"/>
    <w:semiHidden/>
    <w:rsid w:val="004E12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897">
      <w:bodyDiv w:val="1"/>
      <w:marLeft w:val="0"/>
      <w:marRight w:val="0"/>
      <w:marTop w:val="0"/>
      <w:marBottom w:val="0"/>
      <w:divBdr>
        <w:top w:val="none" w:sz="0" w:space="0" w:color="auto"/>
        <w:left w:val="none" w:sz="0" w:space="0" w:color="auto"/>
        <w:bottom w:val="none" w:sz="0" w:space="0" w:color="auto"/>
        <w:right w:val="none" w:sz="0" w:space="0" w:color="auto"/>
      </w:divBdr>
    </w:div>
    <w:div w:id="834762488">
      <w:bodyDiv w:val="1"/>
      <w:marLeft w:val="0"/>
      <w:marRight w:val="0"/>
      <w:marTop w:val="0"/>
      <w:marBottom w:val="0"/>
      <w:divBdr>
        <w:top w:val="none" w:sz="0" w:space="0" w:color="auto"/>
        <w:left w:val="none" w:sz="0" w:space="0" w:color="auto"/>
        <w:bottom w:val="none" w:sz="0" w:space="0" w:color="auto"/>
        <w:right w:val="none" w:sz="0" w:space="0" w:color="auto"/>
      </w:divBdr>
    </w:div>
    <w:div w:id="11239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nfrastructure.planninginspectorate.gov.uk/projects/south-east/m25-junction-28-improve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frastructure.planninginspectorate.gov.uk/projects/south-east/m25-junction-28-improvements/" TargetMode="External"/><Relationship Id="rId7" Type="http://schemas.openxmlformats.org/officeDocument/2006/relationships/settings" Target="settings.xml"/><Relationship Id="rId12" Type="http://schemas.openxmlformats.org/officeDocument/2006/relationships/hyperlink" Target="https://infrastructure.planninginspectorate.gov.uk/wp-content/ipc/uploads/projects/TR010039/TR010039-000297-A47%20Wansford%20to%20Sutton%20-%20Examination%20Library.pdf" TargetMode="External"/><Relationship Id="rId17" Type="http://schemas.openxmlformats.org/officeDocument/2006/relationships/hyperlink" Target="https://infrastructure.planninginspectorate.gov.uk/projects/south-east/m25-junction-28-improvemen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nfrastructure.planninginspectorate.gov.uk/projects/south-east/m25-junction-10a3-wisley-interchange-improvement/" TargetMode="External"/><Relationship Id="rId20" Type="http://schemas.openxmlformats.org/officeDocument/2006/relationships/hyperlink" Target="https://infrastructure.planninginspectorate.gov.uk/projects/south-east/m25-junction-28-improv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47wansfordtosutton@planninginspectorate.gov.uk" TargetMode="External"/><Relationship Id="rId24" Type="http://schemas.openxmlformats.org/officeDocument/2006/relationships/hyperlink" Target="https://infrastructure.planninginspectorate.gov.uk/wp-content/ipc/uploads/projects/TR010054/TR010054-001198-Recommendation%20Report.pdf" TargetMode="External"/><Relationship Id="rId5" Type="http://schemas.openxmlformats.org/officeDocument/2006/relationships/numbering" Target="numbering.xml"/><Relationship Id="rId15" Type="http://schemas.openxmlformats.org/officeDocument/2006/relationships/hyperlink" Target="https://infrastructure.planninginspectorate.gov.uk/projects/west-midlands/m54-to-m6-link-road/" TargetMode="External"/><Relationship Id="rId23" Type="http://schemas.openxmlformats.org/officeDocument/2006/relationships/hyperlink" Target="https://infrastructure.planninginspectorate.gov.uk/projects/south-east/m25-junction-28-improvements/" TargetMode="External"/><Relationship Id="rId10" Type="http://schemas.openxmlformats.org/officeDocument/2006/relationships/endnotes" Target="endnotes.xml"/><Relationship Id="rId19" Type="http://schemas.openxmlformats.org/officeDocument/2006/relationships/hyperlink" Target="https://infrastructure.planninginspectorate.gov.uk/projects/south-east/m25-junction-28-improv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nfrastructure.planninginspectorate.gov.uk/projects/south-east/m25-junction-10a3-wisley-interchange-improvement/%5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3E3D4AE142841BDDC97831D566DDC" ma:contentTypeVersion="9" ma:contentTypeDescription="Create a new document." ma:contentTypeScope="" ma:versionID="f1087804a51c9d93341bb9c83fc3af7d">
  <xsd:schema xmlns:xsd="http://www.w3.org/2001/XMLSchema" xmlns:xs="http://www.w3.org/2001/XMLSchema" xmlns:p="http://schemas.microsoft.com/office/2006/metadata/properties" xmlns:ns2="a2146751-3cdd-4b43-929e-901e107656c8" xmlns:ns3="824b7934-af72-4240-89e9-76626cc0aeb6" targetNamespace="http://schemas.microsoft.com/office/2006/metadata/properties" ma:root="true" ma:fieldsID="8780b26f75902fc1abf1c728951a7008" ns2:_="" ns3:_="">
    <xsd:import namespace="a2146751-3cdd-4b43-929e-901e107656c8"/>
    <xsd:import namespace="824b7934-af72-4240-89e9-76626cc0a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6751-3cdd-4b43-929e-901e10765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4b7934-af72-4240-89e9-76626cc0a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48C1-DCDE-4B96-9AA9-98C2C8423A59}">
  <ds:schemaRefs>
    <ds:schemaRef ds:uri="http://schemas.microsoft.com/sharepoint/v3/contenttype/forms"/>
  </ds:schemaRefs>
</ds:datastoreItem>
</file>

<file path=customXml/itemProps2.xml><?xml version="1.0" encoding="utf-8"?>
<ds:datastoreItem xmlns:ds="http://schemas.openxmlformats.org/officeDocument/2006/customXml" ds:itemID="{6345649B-AD31-499C-A48E-DD788D062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6751-3cdd-4b43-929e-901e107656c8"/>
    <ds:schemaRef ds:uri="824b7934-af72-4240-89e9-76626cc0a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89755-3F08-4BDC-883F-C359FE4B17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146751-3cdd-4b43-929e-901e107656c8"/>
    <ds:schemaRef ds:uri="http://purl.org/dc/elements/1.1/"/>
    <ds:schemaRef ds:uri="http://schemas.microsoft.com/office/2006/metadata/properties"/>
    <ds:schemaRef ds:uri="824b7934-af72-4240-89e9-76626cc0aeb6"/>
    <ds:schemaRef ds:uri="http://www.w3.org/XML/1998/namespace"/>
    <ds:schemaRef ds:uri="http://purl.org/dc/dcmitype/"/>
  </ds:schemaRefs>
</ds:datastoreItem>
</file>

<file path=customXml/itemProps4.xml><?xml version="1.0" encoding="utf-8"?>
<ds:datastoreItem xmlns:ds="http://schemas.openxmlformats.org/officeDocument/2006/customXml" ds:itemID="{0FED7C69-5623-4B44-8102-C338B6E5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Links>
    <vt:vector size="72" baseType="variant">
      <vt:variant>
        <vt:i4>852032</vt:i4>
      </vt:variant>
      <vt:variant>
        <vt:i4>33</vt:i4>
      </vt:variant>
      <vt:variant>
        <vt:i4>0</vt:i4>
      </vt:variant>
      <vt:variant>
        <vt:i4>5</vt:i4>
      </vt:variant>
      <vt:variant>
        <vt:lpwstr>https://infrastructure.planninginspectorate.gov.uk/wp-content/ipc/uploads/projects/TR010054/TR010054-001198-Recommendation Report.pdf</vt:lpwstr>
      </vt:variant>
      <vt:variant>
        <vt:lpwstr/>
      </vt:variant>
      <vt:variant>
        <vt:i4>1703937</vt:i4>
      </vt:variant>
      <vt:variant>
        <vt:i4>30</vt:i4>
      </vt:variant>
      <vt:variant>
        <vt:i4>0</vt:i4>
      </vt:variant>
      <vt:variant>
        <vt:i4>5</vt:i4>
      </vt:variant>
      <vt:variant>
        <vt:lpwstr>https://infrastructure.planninginspectorate.gov.uk/projects/south-east/m25-junction-28-improvements/</vt:lpwstr>
      </vt:variant>
      <vt:variant>
        <vt:lpwstr/>
      </vt:variant>
      <vt:variant>
        <vt:i4>7536685</vt:i4>
      </vt:variant>
      <vt:variant>
        <vt:i4>27</vt:i4>
      </vt:variant>
      <vt:variant>
        <vt:i4>0</vt:i4>
      </vt:variant>
      <vt:variant>
        <vt:i4>5</vt:i4>
      </vt:variant>
      <vt:variant>
        <vt:lpwstr>https://infrastructure.planninginspectorate.gov.uk/projects/south-east/m25-junction-10a3-wisley-interchange-improvement/%5d</vt:lpwstr>
      </vt:variant>
      <vt:variant>
        <vt:lpwstr/>
      </vt:variant>
      <vt:variant>
        <vt:i4>1703937</vt:i4>
      </vt:variant>
      <vt:variant>
        <vt:i4>24</vt:i4>
      </vt:variant>
      <vt:variant>
        <vt:i4>0</vt:i4>
      </vt:variant>
      <vt:variant>
        <vt:i4>5</vt:i4>
      </vt:variant>
      <vt:variant>
        <vt:lpwstr>https://infrastructure.planninginspectorate.gov.uk/projects/south-east/m25-junction-28-improvements/</vt:lpwstr>
      </vt:variant>
      <vt:variant>
        <vt:lpwstr/>
      </vt:variant>
      <vt:variant>
        <vt:i4>1703937</vt:i4>
      </vt:variant>
      <vt:variant>
        <vt:i4>21</vt:i4>
      </vt:variant>
      <vt:variant>
        <vt:i4>0</vt:i4>
      </vt:variant>
      <vt:variant>
        <vt:i4>5</vt:i4>
      </vt:variant>
      <vt:variant>
        <vt:lpwstr>https://infrastructure.planninginspectorate.gov.uk/projects/south-east/m25-junction-28-improvements/</vt:lpwstr>
      </vt:variant>
      <vt:variant>
        <vt:lpwstr/>
      </vt:variant>
      <vt:variant>
        <vt:i4>1703937</vt:i4>
      </vt:variant>
      <vt:variant>
        <vt:i4>18</vt:i4>
      </vt:variant>
      <vt:variant>
        <vt:i4>0</vt:i4>
      </vt:variant>
      <vt:variant>
        <vt:i4>5</vt:i4>
      </vt:variant>
      <vt:variant>
        <vt:lpwstr>https://infrastructure.planninginspectorate.gov.uk/projects/south-east/m25-junction-28-improvements/</vt:lpwstr>
      </vt:variant>
      <vt:variant>
        <vt:lpwstr/>
      </vt:variant>
      <vt:variant>
        <vt:i4>1703937</vt:i4>
      </vt:variant>
      <vt:variant>
        <vt:i4>15</vt:i4>
      </vt:variant>
      <vt:variant>
        <vt:i4>0</vt:i4>
      </vt:variant>
      <vt:variant>
        <vt:i4>5</vt:i4>
      </vt:variant>
      <vt:variant>
        <vt:lpwstr>https://infrastructure.planninginspectorate.gov.uk/projects/south-east/m25-junction-28-improvements/</vt:lpwstr>
      </vt:variant>
      <vt:variant>
        <vt:lpwstr/>
      </vt:variant>
      <vt:variant>
        <vt:i4>1703937</vt:i4>
      </vt:variant>
      <vt:variant>
        <vt:i4>12</vt:i4>
      </vt:variant>
      <vt:variant>
        <vt:i4>0</vt:i4>
      </vt:variant>
      <vt:variant>
        <vt:i4>5</vt:i4>
      </vt:variant>
      <vt:variant>
        <vt:lpwstr>https://infrastructure.planninginspectorate.gov.uk/projects/south-east/m25-junction-28-improvements/</vt:lpwstr>
      </vt:variant>
      <vt:variant>
        <vt:lpwstr/>
      </vt:variant>
      <vt:variant>
        <vt:i4>4587528</vt:i4>
      </vt:variant>
      <vt:variant>
        <vt:i4>9</vt:i4>
      </vt:variant>
      <vt:variant>
        <vt:i4>0</vt:i4>
      </vt:variant>
      <vt:variant>
        <vt:i4>5</vt:i4>
      </vt:variant>
      <vt:variant>
        <vt:lpwstr>https://infrastructure.planninginspectorate.gov.uk/projects/south-east/m25-junction-10a3-wisley-interchange-improvement/</vt:lpwstr>
      </vt:variant>
      <vt:variant>
        <vt:lpwstr/>
      </vt:variant>
      <vt:variant>
        <vt:i4>8192125</vt:i4>
      </vt:variant>
      <vt:variant>
        <vt:i4>6</vt:i4>
      </vt:variant>
      <vt:variant>
        <vt:i4>0</vt:i4>
      </vt:variant>
      <vt:variant>
        <vt:i4>5</vt:i4>
      </vt:variant>
      <vt:variant>
        <vt:lpwstr>https://infrastructure.planninginspectorate.gov.uk/projects/west-midlands/m54-to-m6-link-road/</vt:lpwstr>
      </vt:variant>
      <vt:variant>
        <vt:lpwstr/>
      </vt:variant>
      <vt:variant>
        <vt:i4>4325392</vt:i4>
      </vt:variant>
      <vt:variant>
        <vt:i4>3</vt:i4>
      </vt:variant>
      <vt:variant>
        <vt:i4>0</vt:i4>
      </vt:variant>
      <vt:variant>
        <vt:i4>5</vt:i4>
      </vt:variant>
      <vt:variant>
        <vt:lpwstr>https://infrastructure.planninginspectorate.gov.uk/wp-content/ipc/uploads/projects/TR010039/TR010039-000297-A47 Wansford to Sutton - Examination Library.pdf</vt:lpwstr>
      </vt:variant>
      <vt:variant>
        <vt:lpwstr/>
      </vt:variant>
      <vt:variant>
        <vt:i4>3473489</vt:i4>
      </vt:variant>
      <vt:variant>
        <vt:i4>0</vt:i4>
      </vt:variant>
      <vt:variant>
        <vt:i4>0</vt:i4>
      </vt:variant>
      <vt:variant>
        <vt:i4>5</vt:i4>
      </vt:variant>
      <vt:variant>
        <vt:lpwstr>mailto:a47wansfordtosutton@planninginspectorate.gov.uk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Robert</dc:creator>
  <cp:keywords/>
  <dc:description/>
  <cp:lastModifiedBy>Saffer, Joe</cp:lastModifiedBy>
  <cp:revision>2</cp:revision>
  <dcterms:created xsi:type="dcterms:W3CDTF">2022-05-24T08:13:00Z</dcterms:created>
  <dcterms:modified xsi:type="dcterms:W3CDTF">2022-05-24T08:13:00Z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0x0101008AE3E3D4AE142841BDDC97831D566DDC</vt:lpwstr>
  </property>
</Properties>
</file>