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1021D" w14:textId="77777777" w:rsidR="00605896" w:rsidRDefault="00605896" w:rsidP="00605896">
      <w:pPr>
        <w:jc w:val="left"/>
        <w:rPr>
          <w:b/>
          <w:bCs/>
        </w:rPr>
      </w:pPr>
      <w:bookmarkStart w:id="0" w:name="_GoBack"/>
      <w:bookmarkEnd w:id="0"/>
      <w:r>
        <w:rPr>
          <w:b/>
          <w:bCs/>
        </w:rPr>
        <w:t>A1 Birtley to Coal House Improvement Scheme</w:t>
      </w:r>
    </w:p>
    <w:p w14:paraId="424B08B2" w14:textId="77777777" w:rsidR="00605896" w:rsidRDefault="00605896" w:rsidP="00605896">
      <w:pPr>
        <w:jc w:val="left"/>
      </w:pPr>
      <w:r>
        <w:rPr>
          <w:b/>
          <w:bCs/>
        </w:rPr>
        <w:t xml:space="preserve"> </w:t>
      </w:r>
    </w:p>
    <w:p w14:paraId="53997FA9" w14:textId="77777777" w:rsidR="00605896" w:rsidRDefault="00605896" w:rsidP="00605896">
      <w:pPr>
        <w:jc w:val="left"/>
        <w:rPr>
          <w:b/>
          <w:bCs/>
        </w:rPr>
      </w:pPr>
      <w:r>
        <w:rPr>
          <w:b/>
          <w:bCs/>
        </w:rPr>
        <w:t xml:space="preserve">Agenda for Issue Specific Hearing 1: </w:t>
      </w:r>
    </w:p>
    <w:p w14:paraId="42C35EEB" w14:textId="77777777" w:rsidR="00605896" w:rsidRDefault="00605896" w:rsidP="00605896">
      <w:pPr>
        <w:jc w:val="left"/>
        <w:rPr>
          <w:b/>
          <w:bCs/>
        </w:rPr>
      </w:pPr>
    </w:p>
    <w:p w14:paraId="5C1D461F" w14:textId="77777777" w:rsidR="00605896" w:rsidRDefault="00605896" w:rsidP="00605896">
      <w:pPr>
        <w:jc w:val="left"/>
        <w:rPr>
          <w:b/>
          <w:bCs/>
        </w:rPr>
      </w:pPr>
      <w:bookmarkStart w:id="1" w:name="_Hlk1558620"/>
      <w:r>
        <w:rPr>
          <w:b/>
          <w:bCs/>
        </w:rPr>
        <w:t xml:space="preserve">The draft Development Consent Order </w:t>
      </w:r>
      <w:bookmarkEnd w:id="1"/>
    </w:p>
    <w:p w14:paraId="6A17EA8D" w14:textId="77777777" w:rsidR="00605896" w:rsidRDefault="00605896" w:rsidP="00605896">
      <w:pPr>
        <w:jc w:val="left"/>
      </w:pPr>
    </w:p>
    <w:tbl>
      <w:tblPr>
        <w:tblW w:w="0" w:type="auto"/>
        <w:tblLayout w:type="fixed"/>
        <w:tblLook w:val="04A0" w:firstRow="1" w:lastRow="0" w:firstColumn="1" w:lastColumn="0" w:noHBand="0" w:noVBand="1"/>
      </w:tblPr>
      <w:tblGrid>
        <w:gridCol w:w="3296"/>
        <w:gridCol w:w="3296"/>
      </w:tblGrid>
      <w:tr w:rsidR="00605896" w14:paraId="4E2C8637" w14:textId="77777777" w:rsidTr="00605896">
        <w:trPr>
          <w:trHeight w:val="107"/>
        </w:trPr>
        <w:tc>
          <w:tcPr>
            <w:tcW w:w="3296" w:type="dxa"/>
            <w:tcBorders>
              <w:top w:val="nil"/>
              <w:left w:val="nil"/>
              <w:bottom w:val="nil"/>
              <w:right w:val="nil"/>
            </w:tcBorders>
            <w:hideMark/>
          </w:tcPr>
          <w:p w14:paraId="328E1484" w14:textId="77777777" w:rsidR="00605896" w:rsidRDefault="00605896">
            <w:pPr>
              <w:jc w:val="left"/>
            </w:pPr>
            <w:r>
              <w:rPr>
                <w:b/>
                <w:bCs/>
              </w:rPr>
              <w:t xml:space="preserve">Date: </w:t>
            </w:r>
          </w:p>
        </w:tc>
        <w:tc>
          <w:tcPr>
            <w:tcW w:w="3296" w:type="dxa"/>
            <w:tcBorders>
              <w:top w:val="nil"/>
              <w:left w:val="nil"/>
              <w:bottom w:val="nil"/>
              <w:right w:val="nil"/>
            </w:tcBorders>
            <w:hideMark/>
          </w:tcPr>
          <w:p w14:paraId="0FB5D802" w14:textId="3D4A36E0" w:rsidR="00605896" w:rsidRDefault="00605896">
            <w:pPr>
              <w:jc w:val="left"/>
            </w:pPr>
            <w:r>
              <w:t>Tuesday</w:t>
            </w:r>
            <w:r w:rsidR="00286F52">
              <w:t xml:space="preserve"> 21 January 2020</w:t>
            </w:r>
            <w:r>
              <w:t xml:space="preserve">  </w:t>
            </w:r>
          </w:p>
        </w:tc>
      </w:tr>
      <w:tr w:rsidR="00605896" w14:paraId="068ECA89" w14:textId="77777777" w:rsidTr="00605896">
        <w:trPr>
          <w:trHeight w:val="107"/>
        </w:trPr>
        <w:tc>
          <w:tcPr>
            <w:tcW w:w="3296" w:type="dxa"/>
            <w:tcBorders>
              <w:top w:val="nil"/>
              <w:left w:val="nil"/>
              <w:bottom w:val="nil"/>
              <w:right w:val="nil"/>
            </w:tcBorders>
            <w:hideMark/>
          </w:tcPr>
          <w:p w14:paraId="1D25BC62" w14:textId="77777777" w:rsidR="00605896" w:rsidRDefault="00605896">
            <w:pPr>
              <w:jc w:val="left"/>
            </w:pPr>
            <w:r>
              <w:rPr>
                <w:b/>
                <w:bCs/>
              </w:rPr>
              <w:t xml:space="preserve">Time: </w:t>
            </w:r>
          </w:p>
        </w:tc>
        <w:tc>
          <w:tcPr>
            <w:tcW w:w="3296" w:type="dxa"/>
            <w:tcBorders>
              <w:top w:val="nil"/>
              <w:left w:val="nil"/>
              <w:bottom w:val="nil"/>
              <w:right w:val="nil"/>
            </w:tcBorders>
            <w:hideMark/>
          </w:tcPr>
          <w:p w14:paraId="4BB8AB41" w14:textId="77777777" w:rsidR="00605896" w:rsidRDefault="00605896">
            <w:pPr>
              <w:jc w:val="left"/>
            </w:pPr>
            <w:r>
              <w:t xml:space="preserve">2.00pm </w:t>
            </w:r>
          </w:p>
        </w:tc>
      </w:tr>
      <w:tr w:rsidR="00605896" w14:paraId="7F5E1951" w14:textId="77777777" w:rsidTr="00605896">
        <w:trPr>
          <w:trHeight w:val="375"/>
        </w:trPr>
        <w:tc>
          <w:tcPr>
            <w:tcW w:w="3296" w:type="dxa"/>
            <w:tcBorders>
              <w:top w:val="nil"/>
              <w:left w:val="nil"/>
              <w:bottom w:val="nil"/>
              <w:right w:val="nil"/>
            </w:tcBorders>
            <w:hideMark/>
          </w:tcPr>
          <w:p w14:paraId="2EFCAF28" w14:textId="77777777" w:rsidR="00605896" w:rsidRDefault="00605896">
            <w:pPr>
              <w:jc w:val="left"/>
            </w:pPr>
            <w:r>
              <w:rPr>
                <w:b/>
                <w:bCs/>
              </w:rPr>
              <w:t xml:space="preserve">Venue: </w:t>
            </w:r>
          </w:p>
        </w:tc>
        <w:tc>
          <w:tcPr>
            <w:tcW w:w="3296" w:type="dxa"/>
            <w:tcBorders>
              <w:top w:val="nil"/>
              <w:left w:val="nil"/>
              <w:bottom w:val="nil"/>
              <w:right w:val="nil"/>
            </w:tcBorders>
            <w:hideMark/>
          </w:tcPr>
          <w:p w14:paraId="2ED84CA7" w14:textId="77777777" w:rsidR="00605896" w:rsidRDefault="00605896">
            <w:pPr>
              <w:jc w:val="left"/>
            </w:pPr>
            <w:r>
              <w:t>The European Suite,</w:t>
            </w:r>
          </w:p>
          <w:p w14:paraId="3B016235" w14:textId="77777777" w:rsidR="00605896" w:rsidRDefault="00605896">
            <w:pPr>
              <w:jc w:val="left"/>
            </w:pPr>
            <w:r>
              <w:t>Marriott Hotel,</w:t>
            </w:r>
          </w:p>
          <w:p w14:paraId="3F21664B" w14:textId="77777777" w:rsidR="00605896" w:rsidRDefault="00605896">
            <w:pPr>
              <w:jc w:val="left"/>
            </w:pPr>
            <w:r>
              <w:t>MetroCentre, Gateshead NE11 9XF</w:t>
            </w:r>
          </w:p>
        </w:tc>
      </w:tr>
    </w:tbl>
    <w:p w14:paraId="57FE42F8" w14:textId="77777777" w:rsidR="00605896" w:rsidRDefault="00605896" w:rsidP="00605896">
      <w:pPr>
        <w:jc w:val="left"/>
      </w:pPr>
    </w:p>
    <w:p w14:paraId="5D8D9110" w14:textId="2BFF49E0" w:rsidR="002F2F72" w:rsidRDefault="002F2F72" w:rsidP="00605896">
      <w:pPr>
        <w:jc w:val="left"/>
        <w:rPr>
          <w:b/>
        </w:rPr>
      </w:pPr>
      <w:r>
        <w:rPr>
          <w:b/>
        </w:rPr>
        <w:t>Introduction</w:t>
      </w:r>
    </w:p>
    <w:p w14:paraId="7BC1E74B" w14:textId="58D32F0A" w:rsidR="002F2F72" w:rsidRDefault="002F2F72" w:rsidP="00605896">
      <w:pPr>
        <w:jc w:val="left"/>
        <w:rPr>
          <w:b/>
        </w:rPr>
      </w:pPr>
    </w:p>
    <w:p w14:paraId="38C08A25" w14:textId="4435321E" w:rsidR="002F2F72" w:rsidRDefault="002F2F72" w:rsidP="00605896">
      <w:pPr>
        <w:jc w:val="left"/>
      </w:pPr>
      <w:r w:rsidRPr="002F2F72">
        <w:t>The E</w:t>
      </w:r>
      <w:r w:rsidR="00E740F4">
        <w:t>xamining Authority (ExA)</w:t>
      </w:r>
      <w:r w:rsidR="00D80353">
        <w:t xml:space="preserve"> considers that it is expedient to examine some matters, issues and questions orally at the outset of the examination in order to ensure that technical and legal matters arising from the draft Developme</w:t>
      </w:r>
      <w:r w:rsidR="00F0280B">
        <w:t>nt Consent Order</w:t>
      </w:r>
      <w:r w:rsidR="000E1FAB">
        <w:t xml:space="preserve"> (DCO)</w:t>
      </w:r>
      <w:r w:rsidR="00F0280B">
        <w:t xml:space="preserve"> are identified and considered as early as possible. This hearing, and any subsequent hearings</w:t>
      </w:r>
      <w:r w:rsidR="00E740F4">
        <w:t>, will be held without prejudice to the ExA</w:t>
      </w:r>
      <w:r w:rsidR="000D01B6">
        <w:t>’</w:t>
      </w:r>
      <w:r w:rsidR="00E740F4">
        <w:t>s consideration of the broader merits of the application.</w:t>
      </w:r>
    </w:p>
    <w:p w14:paraId="47B75FB4" w14:textId="60DF5B79" w:rsidR="00AF1398" w:rsidRDefault="00AF1398" w:rsidP="00605896">
      <w:pPr>
        <w:jc w:val="left"/>
      </w:pPr>
    </w:p>
    <w:p w14:paraId="73C51E0D" w14:textId="33C05A96" w:rsidR="00AF1398" w:rsidRPr="002F2F72" w:rsidRDefault="00AF1398" w:rsidP="00605896">
      <w:pPr>
        <w:jc w:val="left"/>
      </w:pPr>
      <w:r>
        <w:t xml:space="preserve">Other matters regarding </w:t>
      </w:r>
      <w:r w:rsidR="000E1FAB">
        <w:t>the draft DCO, not included in this agenda, will be</w:t>
      </w:r>
      <w:r w:rsidR="00460223">
        <w:t xml:space="preserve"> raised through</w:t>
      </w:r>
      <w:r w:rsidR="0047210F">
        <w:t xml:space="preserve"> subs</w:t>
      </w:r>
      <w:r w:rsidR="00F614A5">
        <w:t>equent</w:t>
      </w:r>
      <w:r w:rsidR="00460223">
        <w:t xml:space="preserve"> written questions and/or hearings, including matters relating to compulsory acquisition. </w:t>
      </w:r>
    </w:p>
    <w:p w14:paraId="59D05941" w14:textId="77777777" w:rsidR="002F2F72" w:rsidRDefault="002F2F72" w:rsidP="00605896">
      <w:pPr>
        <w:jc w:val="left"/>
        <w:rPr>
          <w:b/>
        </w:rPr>
      </w:pPr>
    </w:p>
    <w:p w14:paraId="505BF863" w14:textId="1B02E9CF" w:rsidR="00605896" w:rsidRDefault="00605896" w:rsidP="00605896">
      <w:pPr>
        <w:jc w:val="left"/>
        <w:rPr>
          <w:b/>
        </w:rPr>
      </w:pPr>
      <w:r>
        <w:rPr>
          <w:b/>
        </w:rPr>
        <w:t>Attendees</w:t>
      </w:r>
    </w:p>
    <w:p w14:paraId="7354D510" w14:textId="77777777" w:rsidR="00605896" w:rsidRDefault="00605896" w:rsidP="00605896">
      <w:pPr>
        <w:jc w:val="left"/>
      </w:pPr>
    </w:p>
    <w:p w14:paraId="187EC49F" w14:textId="2E70C29C" w:rsidR="00605896" w:rsidRDefault="00605896" w:rsidP="00605896">
      <w:pPr>
        <w:jc w:val="left"/>
      </w:pPr>
      <w:r>
        <w:t xml:space="preserve">The </w:t>
      </w:r>
      <w:r w:rsidR="003A0ADC">
        <w:t>ExA</w:t>
      </w:r>
      <w:r>
        <w:t xml:space="preserve"> would find it helpful if the following parties could attend this hearing. However, this does not indicate that other parties will not be able to contribute. All interested parties are invited to attend and make oral representations on the matters set out in the agenda, subject to </w:t>
      </w:r>
      <w:r w:rsidR="00B75ED6">
        <w:t xml:space="preserve">the </w:t>
      </w:r>
      <w:r>
        <w:t>ExA’s ability to control the hearing.</w:t>
      </w:r>
    </w:p>
    <w:p w14:paraId="5249BA56" w14:textId="77777777" w:rsidR="00605896" w:rsidRDefault="00605896" w:rsidP="00605896">
      <w:pPr>
        <w:jc w:val="left"/>
      </w:pPr>
    </w:p>
    <w:p w14:paraId="717E6662" w14:textId="77777777" w:rsidR="00605896" w:rsidRDefault="00605896" w:rsidP="00605896">
      <w:pPr>
        <w:pStyle w:val="ListParagraph"/>
        <w:numPr>
          <w:ilvl w:val="0"/>
          <w:numId w:val="1"/>
        </w:numPr>
        <w:jc w:val="left"/>
      </w:pPr>
      <w:r>
        <w:t>Highways England (the Applicant)</w:t>
      </w:r>
    </w:p>
    <w:p w14:paraId="192AA215" w14:textId="1AF00A51" w:rsidR="00605896" w:rsidRDefault="00605896" w:rsidP="00605896">
      <w:pPr>
        <w:pStyle w:val="ListParagraph"/>
        <w:numPr>
          <w:ilvl w:val="0"/>
          <w:numId w:val="1"/>
        </w:numPr>
        <w:jc w:val="left"/>
      </w:pPr>
      <w:r>
        <w:t>Gateshead Council</w:t>
      </w:r>
    </w:p>
    <w:p w14:paraId="05C87E4D" w14:textId="536D3C9A" w:rsidR="008070F1" w:rsidRDefault="008070F1" w:rsidP="00605896">
      <w:pPr>
        <w:pStyle w:val="ListParagraph"/>
        <w:numPr>
          <w:ilvl w:val="0"/>
          <w:numId w:val="1"/>
        </w:numPr>
        <w:jc w:val="left"/>
      </w:pPr>
      <w:r>
        <w:t>Historic England</w:t>
      </w:r>
    </w:p>
    <w:p w14:paraId="1398C970" w14:textId="77777777" w:rsidR="00605896" w:rsidRDefault="00605896" w:rsidP="00605896">
      <w:pPr>
        <w:pStyle w:val="ListParagraph"/>
        <w:numPr>
          <w:ilvl w:val="0"/>
          <w:numId w:val="1"/>
        </w:numPr>
        <w:jc w:val="left"/>
      </w:pPr>
      <w:r>
        <w:t>Any other Interested Parties (IPs) with an interest in the drafting of the draft Development Consent Order, the implementation or discharge of proposed articles, requirements or other provisions</w:t>
      </w:r>
      <w:r w:rsidR="001378E3">
        <w:t>.</w:t>
      </w:r>
    </w:p>
    <w:p w14:paraId="67747DF0" w14:textId="77777777" w:rsidR="001378E3" w:rsidRDefault="001378E3" w:rsidP="001378E3">
      <w:pPr>
        <w:jc w:val="left"/>
      </w:pPr>
    </w:p>
    <w:p w14:paraId="7B105F7D" w14:textId="40B26A1C" w:rsidR="001378E3" w:rsidRDefault="001378E3" w:rsidP="001378E3">
      <w:pPr>
        <w:jc w:val="left"/>
      </w:pPr>
      <w:r>
        <w:t xml:space="preserve">The ExA has sought to provide sufficient detail to assist the parties to prepare for the hearing. </w:t>
      </w:r>
      <w:r w:rsidR="00F614A5">
        <w:t>T</w:t>
      </w:r>
      <w:r>
        <w:t>he details set out below are indicative and the ExA may find it necessary to include additional agenda items or to amend the order in which the items are dealt with.</w:t>
      </w:r>
    </w:p>
    <w:p w14:paraId="3E2C2F8D" w14:textId="77777777" w:rsidR="001378E3" w:rsidRDefault="001378E3" w:rsidP="001378E3">
      <w:pPr>
        <w:jc w:val="left"/>
      </w:pPr>
    </w:p>
    <w:p w14:paraId="402918DA" w14:textId="77777777" w:rsidR="001378E3" w:rsidRDefault="001378E3" w:rsidP="001378E3">
      <w:pPr>
        <w:jc w:val="left"/>
        <w:rPr>
          <w:b/>
        </w:rPr>
      </w:pPr>
      <w:r w:rsidRPr="001378E3">
        <w:rPr>
          <w:b/>
        </w:rPr>
        <w:t>Agenda</w:t>
      </w:r>
    </w:p>
    <w:p w14:paraId="03AB3ADE" w14:textId="77777777" w:rsidR="001378E3" w:rsidRDefault="001378E3" w:rsidP="001378E3">
      <w:pPr>
        <w:jc w:val="left"/>
        <w:rPr>
          <w:b/>
        </w:rPr>
      </w:pPr>
    </w:p>
    <w:p w14:paraId="5AFDF7B1" w14:textId="36E6B0D7" w:rsidR="001378E3" w:rsidRDefault="001378E3" w:rsidP="001378E3">
      <w:pPr>
        <w:jc w:val="left"/>
        <w:rPr>
          <w:b/>
        </w:rPr>
      </w:pPr>
      <w:r>
        <w:rPr>
          <w:b/>
        </w:rPr>
        <w:t>1.  Welcome</w:t>
      </w:r>
      <w:r w:rsidR="00B75ED6">
        <w:rPr>
          <w:b/>
        </w:rPr>
        <w:t>,</w:t>
      </w:r>
      <w:r>
        <w:rPr>
          <w:b/>
        </w:rPr>
        <w:t xml:space="preserve"> introductions and arrangements for the hearing</w:t>
      </w:r>
    </w:p>
    <w:p w14:paraId="5C141F1C" w14:textId="77777777" w:rsidR="001378E3" w:rsidRDefault="001378E3" w:rsidP="001378E3">
      <w:pPr>
        <w:jc w:val="left"/>
        <w:rPr>
          <w:b/>
        </w:rPr>
      </w:pPr>
    </w:p>
    <w:p w14:paraId="0AFA5EE6" w14:textId="77777777" w:rsidR="001378E3" w:rsidRDefault="001378E3" w:rsidP="001378E3">
      <w:pPr>
        <w:jc w:val="left"/>
        <w:rPr>
          <w:b/>
        </w:rPr>
      </w:pPr>
      <w:r>
        <w:rPr>
          <w:b/>
        </w:rPr>
        <w:t>2.  Purpose of the Issue Specific Hearing</w:t>
      </w:r>
    </w:p>
    <w:p w14:paraId="42175C58" w14:textId="77777777" w:rsidR="001378E3" w:rsidRDefault="001378E3" w:rsidP="001378E3">
      <w:pPr>
        <w:jc w:val="left"/>
        <w:rPr>
          <w:b/>
        </w:rPr>
      </w:pPr>
    </w:p>
    <w:p w14:paraId="2DB12BE6" w14:textId="77777777" w:rsidR="00540996" w:rsidRDefault="00540996" w:rsidP="001378E3">
      <w:pPr>
        <w:jc w:val="left"/>
        <w:rPr>
          <w:b/>
        </w:rPr>
      </w:pPr>
    </w:p>
    <w:p w14:paraId="0865FB42" w14:textId="60109BDD" w:rsidR="00F72202" w:rsidRDefault="001378E3" w:rsidP="001378E3">
      <w:pPr>
        <w:jc w:val="left"/>
        <w:rPr>
          <w:b/>
        </w:rPr>
      </w:pPr>
      <w:r>
        <w:rPr>
          <w:b/>
        </w:rPr>
        <w:lastRenderedPageBreak/>
        <w:t xml:space="preserve">3.  </w:t>
      </w:r>
      <w:r w:rsidR="00F72202">
        <w:rPr>
          <w:b/>
        </w:rPr>
        <w:t>Articles</w:t>
      </w:r>
    </w:p>
    <w:p w14:paraId="783866F7" w14:textId="26D31156" w:rsidR="00721DDA" w:rsidRDefault="00721DDA" w:rsidP="001378E3">
      <w:pPr>
        <w:jc w:val="left"/>
        <w:rPr>
          <w:b/>
        </w:rPr>
      </w:pPr>
    </w:p>
    <w:tbl>
      <w:tblPr>
        <w:tblStyle w:val="TableGrid"/>
        <w:tblW w:w="0" w:type="auto"/>
        <w:tblLook w:val="04A0" w:firstRow="1" w:lastRow="0" w:firstColumn="1" w:lastColumn="0" w:noHBand="0" w:noVBand="1"/>
      </w:tblPr>
      <w:tblGrid>
        <w:gridCol w:w="1696"/>
        <w:gridCol w:w="7320"/>
      </w:tblGrid>
      <w:tr w:rsidR="00721DDA" w14:paraId="5DF73472" w14:textId="77777777" w:rsidTr="008C0D6A">
        <w:tc>
          <w:tcPr>
            <w:tcW w:w="1696" w:type="dxa"/>
            <w:shd w:val="clear" w:color="auto" w:fill="E7E6E6" w:themeFill="background2"/>
          </w:tcPr>
          <w:p w14:paraId="14FD90F2" w14:textId="14ECEFDA" w:rsidR="00721DDA" w:rsidRPr="00B9135F" w:rsidRDefault="00721DDA" w:rsidP="00721DDA">
            <w:pPr>
              <w:jc w:val="left"/>
            </w:pPr>
            <w:r w:rsidRPr="00B9135F">
              <w:t xml:space="preserve">a) Article 2 </w:t>
            </w:r>
          </w:p>
        </w:tc>
        <w:tc>
          <w:tcPr>
            <w:tcW w:w="7320" w:type="dxa"/>
          </w:tcPr>
          <w:p w14:paraId="38CA039B" w14:textId="4DE5A4DF" w:rsidR="005F684C" w:rsidRPr="00B9135F" w:rsidRDefault="005F684C" w:rsidP="001378E3">
            <w:pPr>
              <w:jc w:val="left"/>
              <w:rPr>
                <w:b/>
                <w:i/>
              </w:rPr>
            </w:pPr>
            <w:r w:rsidRPr="00B9135F">
              <w:rPr>
                <w:b/>
                <w:i/>
              </w:rPr>
              <w:t>Interpretation</w:t>
            </w:r>
          </w:p>
          <w:p w14:paraId="5EAE40C2" w14:textId="73A26A04" w:rsidR="00721DDA" w:rsidRDefault="00721DDA" w:rsidP="001378E3">
            <w:pPr>
              <w:jc w:val="left"/>
              <w:rPr>
                <w:b/>
              </w:rPr>
            </w:pPr>
            <w:r>
              <w:t>Including ‘commence’, ‘maintain’, ‘environmental statement’ and ‘street’</w:t>
            </w:r>
          </w:p>
        </w:tc>
      </w:tr>
      <w:tr w:rsidR="00721DDA" w14:paraId="08182A51" w14:textId="77777777" w:rsidTr="008C0D6A">
        <w:tc>
          <w:tcPr>
            <w:tcW w:w="1696" w:type="dxa"/>
            <w:shd w:val="clear" w:color="auto" w:fill="E7E6E6" w:themeFill="background2"/>
          </w:tcPr>
          <w:p w14:paraId="6FA3D307" w14:textId="3F2F8FD6" w:rsidR="00721DDA" w:rsidRPr="00B9135F" w:rsidRDefault="00721DDA" w:rsidP="001378E3">
            <w:pPr>
              <w:jc w:val="left"/>
            </w:pPr>
            <w:r w:rsidRPr="00B9135F">
              <w:t xml:space="preserve">b) Article 3 </w:t>
            </w:r>
          </w:p>
        </w:tc>
        <w:tc>
          <w:tcPr>
            <w:tcW w:w="7320" w:type="dxa"/>
          </w:tcPr>
          <w:p w14:paraId="69282CD9" w14:textId="4CC578D9" w:rsidR="007B57CB" w:rsidRPr="00B9135F" w:rsidRDefault="000A155E" w:rsidP="001378E3">
            <w:pPr>
              <w:jc w:val="left"/>
              <w:rPr>
                <w:b/>
                <w:i/>
              </w:rPr>
            </w:pPr>
            <w:r w:rsidRPr="00B9135F">
              <w:rPr>
                <w:b/>
                <w:i/>
              </w:rPr>
              <w:t>Development consent etc. granted by the Order</w:t>
            </w:r>
          </w:p>
          <w:p w14:paraId="7AE396AB" w14:textId="7DF2DD7E" w:rsidR="00721DDA" w:rsidRDefault="00721DDA" w:rsidP="001378E3">
            <w:pPr>
              <w:jc w:val="left"/>
              <w:rPr>
                <w:b/>
              </w:rPr>
            </w:pPr>
            <w:r>
              <w:t>Explanation of 3(2) with particular reference to land adjacent to the Order limits</w:t>
            </w:r>
          </w:p>
        </w:tc>
      </w:tr>
      <w:tr w:rsidR="00721DDA" w14:paraId="36B8358E" w14:textId="77777777" w:rsidTr="008C0D6A">
        <w:tc>
          <w:tcPr>
            <w:tcW w:w="1696" w:type="dxa"/>
            <w:shd w:val="clear" w:color="auto" w:fill="E7E6E6" w:themeFill="background2"/>
          </w:tcPr>
          <w:p w14:paraId="221C1336" w14:textId="6484DDE1" w:rsidR="00721DDA" w:rsidRPr="00B9135F" w:rsidRDefault="000A155E" w:rsidP="001378E3">
            <w:pPr>
              <w:jc w:val="left"/>
            </w:pPr>
            <w:r w:rsidRPr="00B9135F">
              <w:t xml:space="preserve">c) </w:t>
            </w:r>
            <w:r w:rsidR="00721DDA" w:rsidRPr="00B9135F">
              <w:t>Article 7</w:t>
            </w:r>
          </w:p>
        </w:tc>
        <w:tc>
          <w:tcPr>
            <w:tcW w:w="7320" w:type="dxa"/>
          </w:tcPr>
          <w:p w14:paraId="69832D97" w14:textId="27EED49A" w:rsidR="00C20FE4" w:rsidRPr="00B9135F" w:rsidRDefault="00C20FE4" w:rsidP="00721DDA">
            <w:pPr>
              <w:jc w:val="left"/>
              <w:rPr>
                <w:b/>
                <w:i/>
              </w:rPr>
            </w:pPr>
            <w:r w:rsidRPr="00B9135F">
              <w:rPr>
                <w:b/>
                <w:i/>
              </w:rPr>
              <w:t>Limits of deviation</w:t>
            </w:r>
          </w:p>
          <w:p w14:paraId="2A19B16C" w14:textId="1DDF6851" w:rsidR="00721DDA" w:rsidRDefault="00721DDA" w:rsidP="00C52153">
            <w:pPr>
              <w:jc w:val="left"/>
              <w:rPr>
                <w:b/>
              </w:rPr>
            </w:pPr>
            <w:r>
              <w:t>Including justification for i) extent of deviation and ii) provision for exceedances beyond the stated limits</w:t>
            </w:r>
          </w:p>
        </w:tc>
      </w:tr>
      <w:tr w:rsidR="00721DDA" w14:paraId="294EC9F9" w14:textId="77777777" w:rsidTr="008C0D6A">
        <w:tc>
          <w:tcPr>
            <w:tcW w:w="1696" w:type="dxa"/>
            <w:shd w:val="clear" w:color="auto" w:fill="E7E6E6" w:themeFill="background2"/>
          </w:tcPr>
          <w:p w14:paraId="53EB60B3" w14:textId="5A55D395" w:rsidR="00721DDA" w:rsidRPr="00B9135F" w:rsidRDefault="00D3721A" w:rsidP="00D3721A">
            <w:pPr>
              <w:jc w:val="left"/>
            </w:pPr>
            <w:r w:rsidRPr="00B9135F">
              <w:t xml:space="preserve">d) Article 13 </w:t>
            </w:r>
          </w:p>
        </w:tc>
        <w:tc>
          <w:tcPr>
            <w:tcW w:w="7320" w:type="dxa"/>
          </w:tcPr>
          <w:p w14:paraId="6A4EF78B" w14:textId="0A599901" w:rsidR="00A56F34" w:rsidRPr="00B9135F" w:rsidRDefault="00A56F34" w:rsidP="001378E3">
            <w:pPr>
              <w:jc w:val="left"/>
              <w:rPr>
                <w:b/>
                <w:i/>
              </w:rPr>
            </w:pPr>
            <w:r w:rsidRPr="00B9135F">
              <w:rPr>
                <w:b/>
                <w:i/>
              </w:rPr>
              <w:t>Construction and maintenance of new, altered or diverted streets</w:t>
            </w:r>
          </w:p>
          <w:p w14:paraId="07E9A43F" w14:textId="29A2EC46" w:rsidR="00721DDA" w:rsidRDefault="006B6C5F" w:rsidP="001378E3">
            <w:pPr>
              <w:jc w:val="left"/>
              <w:rPr>
                <w:b/>
              </w:rPr>
            </w:pPr>
            <w:r>
              <w:t>I</w:t>
            </w:r>
            <w:r w:rsidR="00D3721A">
              <w:t>ncluding use and meaning of the term ‘street’</w:t>
            </w:r>
          </w:p>
        </w:tc>
      </w:tr>
      <w:tr w:rsidR="00721DDA" w14:paraId="7C741D10" w14:textId="77777777" w:rsidTr="008C0D6A">
        <w:tc>
          <w:tcPr>
            <w:tcW w:w="1696" w:type="dxa"/>
            <w:shd w:val="clear" w:color="auto" w:fill="E7E6E6" w:themeFill="background2"/>
          </w:tcPr>
          <w:p w14:paraId="4EA71B11" w14:textId="6B5B9109" w:rsidR="00721DDA" w:rsidRPr="00B9135F" w:rsidRDefault="00D3721A" w:rsidP="001378E3">
            <w:pPr>
              <w:jc w:val="left"/>
            </w:pPr>
            <w:r w:rsidRPr="00B9135F">
              <w:t xml:space="preserve">e) Article 14 </w:t>
            </w:r>
          </w:p>
        </w:tc>
        <w:tc>
          <w:tcPr>
            <w:tcW w:w="7320" w:type="dxa"/>
          </w:tcPr>
          <w:p w14:paraId="22273C9B" w14:textId="118999F0" w:rsidR="00A56F34" w:rsidRPr="00B9135F" w:rsidRDefault="00A56F34" w:rsidP="001378E3">
            <w:pPr>
              <w:jc w:val="left"/>
              <w:rPr>
                <w:b/>
                <w:i/>
              </w:rPr>
            </w:pPr>
            <w:r w:rsidRPr="00B9135F">
              <w:rPr>
                <w:b/>
                <w:i/>
              </w:rPr>
              <w:t>Classification of roads etc.</w:t>
            </w:r>
          </w:p>
          <w:p w14:paraId="7BC62B32" w14:textId="32D7F6E3" w:rsidR="00721DDA" w:rsidRDefault="006B6C5F" w:rsidP="001378E3">
            <w:pPr>
              <w:jc w:val="left"/>
              <w:rPr>
                <w:b/>
              </w:rPr>
            </w:pPr>
            <w:r>
              <w:t>I</w:t>
            </w:r>
            <w:r w:rsidR="00D3721A">
              <w:t>ncluding further explanation in the context of s120 of the Planning Act 2008</w:t>
            </w:r>
          </w:p>
        </w:tc>
      </w:tr>
      <w:tr w:rsidR="00721DDA" w14:paraId="78F54762" w14:textId="77777777" w:rsidTr="008C0D6A">
        <w:tc>
          <w:tcPr>
            <w:tcW w:w="1696" w:type="dxa"/>
            <w:shd w:val="clear" w:color="auto" w:fill="E7E6E6" w:themeFill="background2"/>
          </w:tcPr>
          <w:p w14:paraId="0D8BF16A" w14:textId="4B804C7B" w:rsidR="00721DDA" w:rsidRPr="00B9135F" w:rsidRDefault="006B6C5F" w:rsidP="001378E3">
            <w:pPr>
              <w:jc w:val="left"/>
            </w:pPr>
            <w:r w:rsidRPr="00B9135F">
              <w:t xml:space="preserve">f) </w:t>
            </w:r>
            <w:r w:rsidR="00D3721A" w:rsidRPr="00B9135F">
              <w:t xml:space="preserve">Article 16 </w:t>
            </w:r>
          </w:p>
        </w:tc>
        <w:tc>
          <w:tcPr>
            <w:tcW w:w="7320" w:type="dxa"/>
          </w:tcPr>
          <w:p w14:paraId="4E2B18AB" w14:textId="5A8DB9E4" w:rsidR="00A56F34" w:rsidRPr="00B9135F" w:rsidRDefault="00A56F34" w:rsidP="001378E3">
            <w:pPr>
              <w:jc w:val="left"/>
              <w:rPr>
                <w:b/>
                <w:i/>
              </w:rPr>
            </w:pPr>
            <w:r w:rsidRPr="00B9135F">
              <w:rPr>
                <w:b/>
                <w:i/>
              </w:rPr>
              <w:t>Permanent stopping up and restriction of use of streets, public rights of way and private means of access</w:t>
            </w:r>
          </w:p>
          <w:p w14:paraId="4CB93A10" w14:textId="1402E580" w:rsidR="00721DDA" w:rsidRDefault="006B6C5F" w:rsidP="001378E3">
            <w:pPr>
              <w:jc w:val="left"/>
              <w:rPr>
                <w:b/>
              </w:rPr>
            </w:pPr>
            <w:r>
              <w:t>I</w:t>
            </w:r>
            <w:r w:rsidR="00D3721A">
              <w:t>ncluding whether street authority is the appropriate body to adjudicate in relation to a private means of access</w:t>
            </w:r>
          </w:p>
        </w:tc>
      </w:tr>
      <w:tr w:rsidR="00721DDA" w14:paraId="37934008" w14:textId="77777777" w:rsidTr="008C0D6A">
        <w:tc>
          <w:tcPr>
            <w:tcW w:w="1696" w:type="dxa"/>
            <w:shd w:val="clear" w:color="auto" w:fill="E7E6E6" w:themeFill="background2"/>
          </w:tcPr>
          <w:p w14:paraId="1FBB5816" w14:textId="09A2DC4A" w:rsidR="006B6C5F" w:rsidRPr="00B9135F" w:rsidRDefault="006B6C5F" w:rsidP="006B6C5F">
            <w:pPr>
              <w:jc w:val="left"/>
            </w:pPr>
            <w:r w:rsidRPr="00B9135F">
              <w:t xml:space="preserve">g) Article 18 </w:t>
            </w:r>
          </w:p>
          <w:p w14:paraId="74C0770E" w14:textId="77777777" w:rsidR="00721DDA" w:rsidRPr="00B9135F" w:rsidRDefault="00721DDA" w:rsidP="001378E3">
            <w:pPr>
              <w:jc w:val="left"/>
            </w:pPr>
          </w:p>
        </w:tc>
        <w:tc>
          <w:tcPr>
            <w:tcW w:w="7320" w:type="dxa"/>
          </w:tcPr>
          <w:p w14:paraId="7406FF65" w14:textId="77777777" w:rsidR="00721DDA" w:rsidRDefault="00A56F34" w:rsidP="001378E3">
            <w:pPr>
              <w:jc w:val="left"/>
              <w:rPr>
                <w:b/>
                <w:i/>
              </w:rPr>
            </w:pPr>
            <w:r w:rsidRPr="00B9135F">
              <w:rPr>
                <w:b/>
                <w:i/>
              </w:rPr>
              <w:t>Modification of Road Traffic Regulation Orders</w:t>
            </w:r>
          </w:p>
          <w:p w14:paraId="16A4490D" w14:textId="32E77879" w:rsidR="00F6705D" w:rsidRPr="00F6705D" w:rsidRDefault="00303C6C" w:rsidP="001378E3">
            <w:pPr>
              <w:jc w:val="left"/>
            </w:pPr>
            <w:r>
              <w:t>Further explanation and discussion</w:t>
            </w:r>
          </w:p>
        </w:tc>
      </w:tr>
      <w:tr w:rsidR="00721DDA" w14:paraId="79B503F6" w14:textId="77777777" w:rsidTr="008C0D6A">
        <w:tc>
          <w:tcPr>
            <w:tcW w:w="1696" w:type="dxa"/>
            <w:shd w:val="clear" w:color="auto" w:fill="E7E6E6" w:themeFill="background2"/>
          </w:tcPr>
          <w:p w14:paraId="270C3140" w14:textId="4BB64B43" w:rsidR="00721DDA" w:rsidRPr="00B9135F" w:rsidRDefault="006B6C5F" w:rsidP="001378E3">
            <w:pPr>
              <w:jc w:val="left"/>
            </w:pPr>
            <w:r w:rsidRPr="00B9135F">
              <w:t xml:space="preserve">h) Article 21 </w:t>
            </w:r>
          </w:p>
        </w:tc>
        <w:tc>
          <w:tcPr>
            <w:tcW w:w="7320" w:type="dxa"/>
          </w:tcPr>
          <w:p w14:paraId="562C5CD4" w14:textId="3E7436B6" w:rsidR="00F838A9" w:rsidRPr="00B9135F" w:rsidRDefault="00F838A9" w:rsidP="006B6C5F">
            <w:pPr>
              <w:jc w:val="left"/>
              <w:rPr>
                <w:b/>
                <w:i/>
              </w:rPr>
            </w:pPr>
            <w:r w:rsidRPr="00B9135F">
              <w:rPr>
                <w:b/>
                <w:i/>
              </w:rPr>
              <w:t>Protective work to buildings</w:t>
            </w:r>
          </w:p>
          <w:p w14:paraId="19CA1C86" w14:textId="1FAB861D" w:rsidR="00721DDA" w:rsidRDefault="00D10C8E" w:rsidP="00C52153">
            <w:pPr>
              <w:jc w:val="left"/>
              <w:rPr>
                <w:b/>
              </w:rPr>
            </w:pPr>
            <w:r>
              <w:t>I</w:t>
            </w:r>
            <w:r w:rsidR="006B6C5F">
              <w:t>ncluding details of any buildings likely to require such protective works</w:t>
            </w:r>
          </w:p>
        </w:tc>
      </w:tr>
      <w:tr w:rsidR="00721DDA" w14:paraId="6A563B09" w14:textId="77777777" w:rsidTr="008C0D6A">
        <w:tc>
          <w:tcPr>
            <w:tcW w:w="1696" w:type="dxa"/>
            <w:shd w:val="clear" w:color="auto" w:fill="E7E6E6" w:themeFill="background2"/>
          </w:tcPr>
          <w:p w14:paraId="3065F8EB" w14:textId="34B50D63" w:rsidR="00721DDA" w:rsidRPr="00B9135F" w:rsidRDefault="006B6C5F" w:rsidP="001378E3">
            <w:pPr>
              <w:jc w:val="left"/>
            </w:pPr>
            <w:r w:rsidRPr="00B9135F">
              <w:t xml:space="preserve">i) Article 33 </w:t>
            </w:r>
          </w:p>
        </w:tc>
        <w:tc>
          <w:tcPr>
            <w:tcW w:w="7320" w:type="dxa"/>
          </w:tcPr>
          <w:p w14:paraId="4D599683" w14:textId="2BD09346" w:rsidR="00D10C8E" w:rsidRPr="00B9135F" w:rsidRDefault="00D10C8E" w:rsidP="001378E3">
            <w:pPr>
              <w:jc w:val="left"/>
              <w:rPr>
                <w:b/>
                <w:i/>
              </w:rPr>
            </w:pPr>
            <w:r w:rsidRPr="00B9135F">
              <w:rPr>
                <w:b/>
                <w:i/>
              </w:rPr>
              <w:t>Temporary use of land for maintaining the authorised development</w:t>
            </w:r>
          </w:p>
          <w:p w14:paraId="530B0F49" w14:textId="689C29BC" w:rsidR="00721DDA" w:rsidRDefault="00D10C8E" w:rsidP="001378E3">
            <w:pPr>
              <w:jc w:val="left"/>
              <w:rPr>
                <w:b/>
              </w:rPr>
            </w:pPr>
            <w:r>
              <w:t>I</w:t>
            </w:r>
            <w:r w:rsidR="006B6C5F">
              <w:t xml:space="preserve">ncluding </w:t>
            </w:r>
            <w:r w:rsidR="0011435A">
              <w:t xml:space="preserve">consideration of </w:t>
            </w:r>
            <w:r w:rsidR="006B6C5F">
              <w:t>33(4)</w:t>
            </w:r>
          </w:p>
        </w:tc>
      </w:tr>
      <w:tr w:rsidR="00721DDA" w14:paraId="4662981C" w14:textId="77777777" w:rsidTr="008C0D6A">
        <w:tc>
          <w:tcPr>
            <w:tcW w:w="1696" w:type="dxa"/>
            <w:shd w:val="clear" w:color="auto" w:fill="E7E6E6" w:themeFill="background2"/>
          </w:tcPr>
          <w:p w14:paraId="0923A81B" w14:textId="65F2B989" w:rsidR="00721DDA" w:rsidRPr="00B9135F" w:rsidRDefault="006754E0" w:rsidP="001378E3">
            <w:pPr>
              <w:jc w:val="left"/>
            </w:pPr>
            <w:r w:rsidRPr="00B9135F">
              <w:t>j) Articles 34</w:t>
            </w:r>
            <w:r w:rsidR="002A1AEB" w:rsidRPr="00B9135F">
              <w:t xml:space="preserve"> and 35</w:t>
            </w:r>
          </w:p>
        </w:tc>
        <w:tc>
          <w:tcPr>
            <w:tcW w:w="7320" w:type="dxa"/>
          </w:tcPr>
          <w:p w14:paraId="6E0D4FF7" w14:textId="0BB44A46" w:rsidR="00D10C8E" w:rsidRPr="00B9135F" w:rsidRDefault="00D10C8E" w:rsidP="001378E3">
            <w:pPr>
              <w:jc w:val="left"/>
              <w:rPr>
                <w:b/>
                <w:i/>
              </w:rPr>
            </w:pPr>
            <w:r w:rsidRPr="00B9135F">
              <w:rPr>
                <w:b/>
                <w:i/>
              </w:rPr>
              <w:t>Statutory undertakers and Apparatus and rights of statutory undertakers in stopped up streets</w:t>
            </w:r>
          </w:p>
          <w:p w14:paraId="37F4D380" w14:textId="504E7C8F" w:rsidR="00721DDA" w:rsidRDefault="00D10C8E" w:rsidP="001378E3">
            <w:pPr>
              <w:jc w:val="left"/>
              <w:rPr>
                <w:b/>
              </w:rPr>
            </w:pPr>
            <w:r>
              <w:t>I</w:t>
            </w:r>
            <w:r w:rsidR="006754E0">
              <w:t>ncluding justification for their inclusion</w:t>
            </w:r>
          </w:p>
        </w:tc>
      </w:tr>
      <w:tr w:rsidR="00721DDA" w14:paraId="69628171" w14:textId="77777777" w:rsidTr="008C0D6A">
        <w:tc>
          <w:tcPr>
            <w:tcW w:w="1696" w:type="dxa"/>
            <w:shd w:val="clear" w:color="auto" w:fill="E7E6E6" w:themeFill="background2"/>
          </w:tcPr>
          <w:p w14:paraId="4F72565E" w14:textId="0E33ED8F" w:rsidR="00721DDA" w:rsidRPr="00B9135F" w:rsidRDefault="00C2020B" w:rsidP="001378E3">
            <w:pPr>
              <w:jc w:val="left"/>
            </w:pPr>
            <w:r>
              <w:t>k</w:t>
            </w:r>
            <w:r w:rsidR="004E6E24" w:rsidRPr="00B9135F">
              <w:t xml:space="preserve">) Article 37 </w:t>
            </w:r>
          </w:p>
        </w:tc>
        <w:tc>
          <w:tcPr>
            <w:tcW w:w="7320" w:type="dxa"/>
          </w:tcPr>
          <w:p w14:paraId="566046ED" w14:textId="49C51E33" w:rsidR="0011435A" w:rsidRPr="00B9135F" w:rsidRDefault="0011435A" w:rsidP="001378E3">
            <w:pPr>
              <w:jc w:val="left"/>
              <w:rPr>
                <w:b/>
                <w:i/>
              </w:rPr>
            </w:pPr>
            <w:r w:rsidRPr="00B9135F">
              <w:rPr>
                <w:b/>
                <w:i/>
              </w:rPr>
              <w:t>Felling or lopping of trees and removal of hedgerows</w:t>
            </w:r>
          </w:p>
          <w:p w14:paraId="70683913" w14:textId="4A1A593F" w:rsidR="00721DDA" w:rsidRDefault="0011435A" w:rsidP="001378E3">
            <w:pPr>
              <w:jc w:val="left"/>
              <w:rPr>
                <w:b/>
              </w:rPr>
            </w:pPr>
            <w:r>
              <w:t>I</w:t>
            </w:r>
            <w:r w:rsidR="004E6E24">
              <w:t>ncluding need for a schedule and plan showing the hedgerows to be removed</w:t>
            </w:r>
          </w:p>
        </w:tc>
      </w:tr>
      <w:tr w:rsidR="00721DDA" w14:paraId="778BFBA4" w14:textId="77777777" w:rsidTr="008C0D6A">
        <w:tc>
          <w:tcPr>
            <w:tcW w:w="1696" w:type="dxa"/>
            <w:shd w:val="clear" w:color="auto" w:fill="E7E6E6" w:themeFill="background2"/>
          </w:tcPr>
          <w:p w14:paraId="030CA97E" w14:textId="59E77995" w:rsidR="00721DDA" w:rsidRPr="00B9135F" w:rsidRDefault="00C2020B" w:rsidP="001378E3">
            <w:pPr>
              <w:jc w:val="left"/>
            </w:pPr>
            <w:r>
              <w:t>l</w:t>
            </w:r>
            <w:r w:rsidR="004E6E24" w:rsidRPr="00B9135F">
              <w:t xml:space="preserve">) Article 38 </w:t>
            </w:r>
          </w:p>
        </w:tc>
        <w:tc>
          <w:tcPr>
            <w:tcW w:w="7320" w:type="dxa"/>
          </w:tcPr>
          <w:p w14:paraId="2F5CCCE3" w14:textId="7F6058B3" w:rsidR="0011435A" w:rsidRPr="00B9135F" w:rsidRDefault="0011435A" w:rsidP="001378E3">
            <w:pPr>
              <w:jc w:val="left"/>
              <w:rPr>
                <w:b/>
                <w:i/>
              </w:rPr>
            </w:pPr>
            <w:r w:rsidRPr="00B9135F">
              <w:rPr>
                <w:b/>
                <w:i/>
              </w:rPr>
              <w:t>Trees subject to tree preservation orders</w:t>
            </w:r>
          </w:p>
          <w:p w14:paraId="17CEE74C" w14:textId="2A351496" w:rsidR="00721DDA" w:rsidRDefault="0011435A" w:rsidP="001378E3">
            <w:pPr>
              <w:jc w:val="left"/>
              <w:rPr>
                <w:b/>
              </w:rPr>
            </w:pPr>
            <w:r>
              <w:t>I</w:t>
            </w:r>
            <w:r w:rsidR="004E6E24">
              <w:t>ncluding relationship with Schedule 9</w:t>
            </w:r>
          </w:p>
        </w:tc>
      </w:tr>
      <w:tr w:rsidR="00721DDA" w14:paraId="707D60E5" w14:textId="77777777" w:rsidTr="008C0D6A">
        <w:tc>
          <w:tcPr>
            <w:tcW w:w="1696" w:type="dxa"/>
            <w:shd w:val="clear" w:color="auto" w:fill="E7E6E6" w:themeFill="background2"/>
          </w:tcPr>
          <w:p w14:paraId="5041B9CA" w14:textId="75972946" w:rsidR="00721DDA" w:rsidRPr="00B9135F" w:rsidRDefault="00C2020B" w:rsidP="001378E3">
            <w:pPr>
              <w:jc w:val="left"/>
            </w:pPr>
            <w:r>
              <w:t>m</w:t>
            </w:r>
            <w:r w:rsidR="00DD7EE3" w:rsidRPr="00B9135F">
              <w:t xml:space="preserve">) </w:t>
            </w:r>
            <w:r w:rsidR="004E6E24" w:rsidRPr="00B9135F">
              <w:t xml:space="preserve">Article 39 </w:t>
            </w:r>
          </w:p>
        </w:tc>
        <w:tc>
          <w:tcPr>
            <w:tcW w:w="7320" w:type="dxa"/>
          </w:tcPr>
          <w:p w14:paraId="1CC7BCEC" w14:textId="77777777" w:rsidR="0011435A" w:rsidRPr="00B9135F" w:rsidRDefault="0011435A" w:rsidP="001378E3">
            <w:pPr>
              <w:jc w:val="left"/>
              <w:rPr>
                <w:b/>
                <w:i/>
              </w:rPr>
            </w:pPr>
            <w:r w:rsidRPr="00B9135F">
              <w:rPr>
                <w:b/>
                <w:i/>
              </w:rPr>
              <w:t>Scheduled Monuments</w:t>
            </w:r>
          </w:p>
          <w:p w14:paraId="048153ED" w14:textId="6FE95B36" w:rsidR="00721DDA" w:rsidRDefault="0011435A" w:rsidP="001378E3">
            <w:pPr>
              <w:jc w:val="left"/>
              <w:rPr>
                <w:b/>
              </w:rPr>
            </w:pPr>
            <w:r>
              <w:t>I</w:t>
            </w:r>
            <w:r w:rsidR="004E6E24">
              <w:t>ncluding further explanation for inclusion in the context of s33 of the Planning Act 2008 and s3 of the Infrastructure Planning (Decisions) Regulations 2010</w:t>
            </w:r>
          </w:p>
        </w:tc>
      </w:tr>
      <w:tr w:rsidR="00721DDA" w14:paraId="37EC82A1" w14:textId="77777777" w:rsidTr="008C0D6A">
        <w:tc>
          <w:tcPr>
            <w:tcW w:w="1696" w:type="dxa"/>
            <w:shd w:val="clear" w:color="auto" w:fill="E7E6E6" w:themeFill="background2"/>
          </w:tcPr>
          <w:p w14:paraId="14FB1B11" w14:textId="73637045" w:rsidR="00721DDA" w:rsidRPr="00B9135F" w:rsidRDefault="00C2020B" w:rsidP="001378E3">
            <w:pPr>
              <w:jc w:val="left"/>
            </w:pPr>
            <w:r>
              <w:t>n</w:t>
            </w:r>
            <w:r w:rsidR="004E6E24" w:rsidRPr="00B9135F">
              <w:t xml:space="preserve">) </w:t>
            </w:r>
            <w:r w:rsidR="00B9135F">
              <w:t>Other</w:t>
            </w:r>
          </w:p>
        </w:tc>
        <w:tc>
          <w:tcPr>
            <w:tcW w:w="7320" w:type="dxa"/>
          </w:tcPr>
          <w:p w14:paraId="004A27FB" w14:textId="6D971BF3" w:rsidR="00721DDA" w:rsidRPr="00B9135F" w:rsidRDefault="004E6E24" w:rsidP="001378E3">
            <w:pPr>
              <w:jc w:val="left"/>
            </w:pPr>
            <w:r w:rsidRPr="00B9135F">
              <w:t>Any other matters relating to the articles</w:t>
            </w:r>
          </w:p>
        </w:tc>
      </w:tr>
    </w:tbl>
    <w:p w14:paraId="67D43D96" w14:textId="77777777" w:rsidR="00547360" w:rsidRDefault="00547360" w:rsidP="001378E3">
      <w:pPr>
        <w:jc w:val="left"/>
      </w:pPr>
    </w:p>
    <w:p w14:paraId="62F9631C" w14:textId="32318CD4" w:rsidR="00B83917" w:rsidRPr="00B83917" w:rsidRDefault="00547360" w:rsidP="001378E3">
      <w:pPr>
        <w:jc w:val="left"/>
        <w:rPr>
          <w:b/>
        </w:rPr>
      </w:pPr>
      <w:r w:rsidRPr="00B83917">
        <w:rPr>
          <w:b/>
        </w:rPr>
        <w:t xml:space="preserve">4.  Schedule </w:t>
      </w:r>
      <w:r w:rsidR="00B83917" w:rsidRPr="00B83917">
        <w:rPr>
          <w:b/>
        </w:rPr>
        <w:t>1</w:t>
      </w:r>
      <w:r w:rsidR="004E413E">
        <w:rPr>
          <w:b/>
        </w:rPr>
        <w:t xml:space="preserve"> - </w:t>
      </w:r>
      <w:r w:rsidR="00B83917" w:rsidRPr="00B83917">
        <w:rPr>
          <w:b/>
        </w:rPr>
        <w:t>Authorised development</w:t>
      </w:r>
    </w:p>
    <w:p w14:paraId="2C2276C7" w14:textId="77777777" w:rsidR="00B83917" w:rsidRDefault="00B83917" w:rsidP="001378E3">
      <w:pPr>
        <w:jc w:val="left"/>
      </w:pPr>
    </w:p>
    <w:p w14:paraId="1ED8B0C0" w14:textId="1CE3E83A" w:rsidR="00BC66D5" w:rsidRDefault="00B83917" w:rsidP="001378E3">
      <w:pPr>
        <w:jc w:val="left"/>
      </w:pPr>
      <w:r>
        <w:t>a)</w:t>
      </w:r>
      <w:r w:rsidR="00BC66D5">
        <w:t xml:space="preserve"> Justification for necessity of listed works</w:t>
      </w:r>
      <w:r w:rsidR="00DC5F17">
        <w:t xml:space="preserve"> </w:t>
      </w:r>
    </w:p>
    <w:p w14:paraId="25848CD8" w14:textId="77777777" w:rsidR="00BC66D5" w:rsidRDefault="00BC66D5" w:rsidP="001378E3">
      <w:pPr>
        <w:jc w:val="left"/>
      </w:pPr>
    </w:p>
    <w:p w14:paraId="0EEA8038" w14:textId="0A3A8376" w:rsidR="00DC5F17" w:rsidRDefault="00BC66D5" w:rsidP="001378E3">
      <w:pPr>
        <w:jc w:val="left"/>
      </w:pPr>
      <w:r>
        <w:t xml:space="preserve">b) </w:t>
      </w:r>
      <w:r w:rsidR="00DC5F17">
        <w:t>Associated development</w:t>
      </w:r>
      <w:r w:rsidR="00B83917">
        <w:t xml:space="preserve"> </w:t>
      </w:r>
    </w:p>
    <w:p w14:paraId="689393D5" w14:textId="77777777" w:rsidR="00DC5F17" w:rsidRDefault="00DC5F17" w:rsidP="001378E3">
      <w:pPr>
        <w:jc w:val="left"/>
      </w:pPr>
    </w:p>
    <w:p w14:paraId="0A15C20C" w14:textId="7426073B" w:rsidR="005C65CF" w:rsidRDefault="001270C2" w:rsidP="001378E3">
      <w:pPr>
        <w:jc w:val="left"/>
      </w:pPr>
      <w:r>
        <w:t>c</w:t>
      </w:r>
      <w:r w:rsidR="00DC5F17">
        <w:t xml:space="preserve">) </w:t>
      </w:r>
      <w:r w:rsidR="00A72665">
        <w:t>Relevant t</w:t>
      </w:r>
      <w:r w:rsidR="00362566">
        <w:t xml:space="preserve">ext on page 25 of the Explanatory Memorandum </w:t>
      </w:r>
      <w:r w:rsidR="00A72665">
        <w:t>[APP-014]</w:t>
      </w:r>
      <w:r w:rsidR="0019196B">
        <w:t xml:space="preserve"> under Schedule 1 – Authorised Development</w:t>
      </w:r>
    </w:p>
    <w:p w14:paraId="5C8E6DB9" w14:textId="11C405B3" w:rsidR="005C65CF" w:rsidRDefault="005C65CF" w:rsidP="001378E3">
      <w:pPr>
        <w:jc w:val="left"/>
      </w:pPr>
      <w:r w:rsidRPr="005C65CF">
        <w:rPr>
          <w:b/>
        </w:rPr>
        <w:lastRenderedPageBreak/>
        <w:t>5.  Schedule 2</w:t>
      </w:r>
      <w:r w:rsidR="004E413E">
        <w:rPr>
          <w:b/>
        </w:rPr>
        <w:t xml:space="preserve"> - </w:t>
      </w:r>
      <w:r w:rsidRPr="005C65CF">
        <w:rPr>
          <w:b/>
        </w:rPr>
        <w:t>Requireme</w:t>
      </w:r>
      <w:r w:rsidR="006D6E84">
        <w:rPr>
          <w:b/>
        </w:rPr>
        <w:t>nts</w:t>
      </w:r>
    </w:p>
    <w:p w14:paraId="274EB2FA" w14:textId="0BB8CFC2" w:rsidR="005C65CF" w:rsidRDefault="005C65CF" w:rsidP="001378E3">
      <w:pPr>
        <w:jc w:val="left"/>
      </w:pPr>
    </w:p>
    <w:p w14:paraId="4C06F415" w14:textId="386A599F" w:rsidR="006453BC" w:rsidRDefault="006453BC" w:rsidP="001378E3">
      <w:pPr>
        <w:jc w:val="left"/>
        <w:rPr>
          <w:i/>
        </w:rPr>
      </w:pPr>
      <w:r w:rsidRPr="00CD470A">
        <w:rPr>
          <w:i/>
        </w:rPr>
        <w:t>Part 1</w:t>
      </w:r>
      <w:r w:rsidR="00CD470A" w:rsidRPr="00CD470A">
        <w:rPr>
          <w:i/>
        </w:rPr>
        <w:t xml:space="preserve"> Requirements</w:t>
      </w:r>
    </w:p>
    <w:p w14:paraId="62FCF38A" w14:textId="1D17D99D" w:rsidR="00D74A85" w:rsidRDefault="00D74A85" w:rsidP="001378E3">
      <w:pPr>
        <w:jc w:val="left"/>
        <w:rPr>
          <w:i/>
        </w:rPr>
      </w:pPr>
    </w:p>
    <w:tbl>
      <w:tblPr>
        <w:tblStyle w:val="TableGrid"/>
        <w:tblW w:w="0" w:type="auto"/>
        <w:tblLook w:val="04A0" w:firstRow="1" w:lastRow="0" w:firstColumn="1" w:lastColumn="0" w:noHBand="0" w:noVBand="1"/>
      </w:tblPr>
      <w:tblGrid>
        <w:gridCol w:w="988"/>
        <w:gridCol w:w="8028"/>
      </w:tblGrid>
      <w:tr w:rsidR="00D74A85" w14:paraId="575C8A3D" w14:textId="77777777" w:rsidTr="00143F62">
        <w:tc>
          <w:tcPr>
            <w:tcW w:w="988" w:type="dxa"/>
            <w:shd w:val="clear" w:color="auto" w:fill="E7E6E6" w:themeFill="background2"/>
          </w:tcPr>
          <w:p w14:paraId="35299FDA" w14:textId="3E5E082B" w:rsidR="00D74A85" w:rsidRPr="00B9135F" w:rsidRDefault="008C0D6A" w:rsidP="0010079B">
            <w:pPr>
              <w:jc w:val="left"/>
            </w:pPr>
            <w:r>
              <w:t>a) 1</w:t>
            </w:r>
          </w:p>
        </w:tc>
        <w:tc>
          <w:tcPr>
            <w:tcW w:w="8028" w:type="dxa"/>
          </w:tcPr>
          <w:p w14:paraId="376BD0D7" w14:textId="77777777" w:rsidR="00D74A85" w:rsidRPr="008C0D6A" w:rsidRDefault="008C0D6A" w:rsidP="0010079B">
            <w:pPr>
              <w:jc w:val="left"/>
              <w:rPr>
                <w:b/>
                <w:i/>
              </w:rPr>
            </w:pPr>
            <w:r w:rsidRPr="008C0D6A">
              <w:rPr>
                <w:b/>
                <w:i/>
              </w:rPr>
              <w:t>Interpretation of ‘European Protected Species’</w:t>
            </w:r>
          </w:p>
          <w:p w14:paraId="55E1ED61" w14:textId="1BD3E73A" w:rsidR="008C0D6A" w:rsidRDefault="008C0D6A" w:rsidP="008C0D6A">
            <w:pPr>
              <w:jc w:val="left"/>
              <w:rPr>
                <w:b/>
              </w:rPr>
            </w:pPr>
            <w:r>
              <w:t>Should this refer to the Conservation of Habitats and Species Regulations 2017?</w:t>
            </w:r>
          </w:p>
        </w:tc>
      </w:tr>
      <w:tr w:rsidR="00D74A85" w14:paraId="7A00A7C3" w14:textId="77777777" w:rsidTr="00143F62">
        <w:tc>
          <w:tcPr>
            <w:tcW w:w="988" w:type="dxa"/>
            <w:shd w:val="clear" w:color="auto" w:fill="E7E6E6" w:themeFill="background2"/>
          </w:tcPr>
          <w:p w14:paraId="1430247F" w14:textId="58A38177" w:rsidR="00D74A85" w:rsidRPr="00B9135F" w:rsidRDefault="008C0D6A" w:rsidP="0010079B">
            <w:pPr>
              <w:jc w:val="left"/>
            </w:pPr>
            <w:r>
              <w:t>b) R3</w:t>
            </w:r>
          </w:p>
        </w:tc>
        <w:tc>
          <w:tcPr>
            <w:tcW w:w="8028" w:type="dxa"/>
          </w:tcPr>
          <w:p w14:paraId="58D44574" w14:textId="77777777" w:rsidR="00D74A85" w:rsidRPr="00143F62" w:rsidRDefault="008C0D6A" w:rsidP="0010079B">
            <w:pPr>
              <w:jc w:val="left"/>
              <w:rPr>
                <w:b/>
                <w:i/>
              </w:rPr>
            </w:pPr>
            <w:r w:rsidRPr="00143F62">
              <w:rPr>
                <w:b/>
                <w:i/>
              </w:rPr>
              <w:t>Detailed design</w:t>
            </w:r>
          </w:p>
          <w:p w14:paraId="6FBE7E50" w14:textId="0F4CAE61" w:rsidR="00143F62" w:rsidRDefault="00B75ED6" w:rsidP="00143F62">
            <w:pPr>
              <w:jc w:val="left"/>
              <w:rPr>
                <w:b/>
              </w:rPr>
            </w:pPr>
            <w:proofErr w:type="spellStart"/>
            <w:r>
              <w:t>i</w:t>
            </w:r>
            <w:proofErr w:type="spellEnd"/>
            <w:r>
              <w:t xml:space="preserve">) </w:t>
            </w:r>
            <w:r w:rsidR="00143F62">
              <w:t>Scope of requirement and ii) provision for amendments including explanation of ‘any new or materially worse adverse environmental effects’</w:t>
            </w:r>
          </w:p>
        </w:tc>
      </w:tr>
      <w:tr w:rsidR="00D74A85" w14:paraId="61B5BEAE" w14:textId="77777777" w:rsidTr="00143F62">
        <w:tc>
          <w:tcPr>
            <w:tcW w:w="988" w:type="dxa"/>
            <w:shd w:val="clear" w:color="auto" w:fill="E7E6E6" w:themeFill="background2"/>
          </w:tcPr>
          <w:p w14:paraId="0630E8D7" w14:textId="0DC33088" w:rsidR="00D74A85" w:rsidRPr="00B9135F" w:rsidRDefault="00143F62" w:rsidP="0010079B">
            <w:pPr>
              <w:jc w:val="left"/>
            </w:pPr>
            <w:r>
              <w:t>c) R4</w:t>
            </w:r>
          </w:p>
        </w:tc>
        <w:tc>
          <w:tcPr>
            <w:tcW w:w="8028" w:type="dxa"/>
          </w:tcPr>
          <w:p w14:paraId="29EFBF10" w14:textId="68E0E891" w:rsidR="00D74A85" w:rsidRPr="00143F62" w:rsidRDefault="00143F62" w:rsidP="0010079B">
            <w:pPr>
              <w:jc w:val="left"/>
              <w:rPr>
                <w:b/>
                <w:i/>
              </w:rPr>
            </w:pPr>
            <w:r w:rsidRPr="00143F62">
              <w:rPr>
                <w:b/>
                <w:i/>
              </w:rPr>
              <w:t>Construction and handover environmental management plan</w:t>
            </w:r>
            <w:r w:rsidR="00120657">
              <w:rPr>
                <w:b/>
                <w:i/>
              </w:rPr>
              <w:t>s</w:t>
            </w:r>
          </w:p>
          <w:p w14:paraId="37661162" w14:textId="04BCDB4C" w:rsidR="00143F62" w:rsidRDefault="00B75ED6" w:rsidP="00B1473D">
            <w:pPr>
              <w:jc w:val="left"/>
              <w:rPr>
                <w:b/>
              </w:rPr>
            </w:pPr>
            <w:proofErr w:type="spellStart"/>
            <w:r>
              <w:t>i</w:t>
            </w:r>
            <w:proofErr w:type="spellEnd"/>
            <w:r>
              <w:t xml:space="preserve">) </w:t>
            </w:r>
            <w:r w:rsidR="00143F62">
              <w:t>Use of term ‘relevant planning authority’, ii) list of management plans in the context of paragraph 1.1.4 of the outline Construction Environmental Management Plan (CEMP) [APP-174] and iii) working hours including exceptions</w:t>
            </w:r>
          </w:p>
        </w:tc>
      </w:tr>
      <w:tr w:rsidR="00D74A85" w14:paraId="79D2428A" w14:textId="77777777" w:rsidTr="00143F62">
        <w:tc>
          <w:tcPr>
            <w:tcW w:w="988" w:type="dxa"/>
            <w:shd w:val="clear" w:color="auto" w:fill="E7E6E6" w:themeFill="background2"/>
          </w:tcPr>
          <w:p w14:paraId="14611080" w14:textId="7717EDBB" w:rsidR="00D74A85" w:rsidRPr="00B9135F" w:rsidRDefault="00695202" w:rsidP="0010079B">
            <w:pPr>
              <w:jc w:val="left"/>
            </w:pPr>
            <w:r>
              <w:t xml:space="preserve">d) R5 </w:t>
            </w:r>
          </w:p>
        </w:tc>
        <w:tc>
          <w:tcPr>
            <w:tcW w:w="8028" w:type="dxa"/>
          </w:tcPr>
          <w:p w14:paraId="568D5FBA" w14:textId="77777777" w:rsidR="00D74A85" w:rsidRPr="00695202" w:rsidRDefault="00695202" w:rsidP="0010079B">
            <w:pPr>
              <w:jc w:val="left"/>
              <w:rPr>
                <w:b/>
                <w:i/>
              </w:rPr>
            </w:pPr>
            <w:r w:rsidRPr="00695202">
              <w:rPr>
                <w:b/>
                <w:i/>
              </w:rPr>
              <w:t>Landscaping</w:t>
            </w:r>
          </w:p>
          <w:p w14:paraId="4B2F8A1C" w14:textId="4A545FA4" w:rsidR="00695202" w:rsidRDefault="00695202" w:rsidP="0010079B">
            <w:pPr>
              <w:jc w:val="left"/>
              <w:rPr>
                <w:b/>
              </w:rPr>
            </w:pPr>
            <w:r>
              <w:t>Discussion and explanation of drafting</w:t>
            </w:r>
          </w:p>
        </w:tc>
      </w:tr>
      <w:tr w:rsidR="00D74A85" w14:paraId="47759740" w14:textId="77777777" w:rsidTr="00143F62">
        <w:tc>
          <w:tcPr>
            <w:tcW w:w="988" w:type="dxa"/>
            <w:shd w:val="clear" w:color="auto" w:fill="E7E6E6" w:themeFill="background2"/>
          </w:tcPr>
          <w:p w14:paraId="124F9754" w14:textId="5A3E64E2" w:rsidR="00D74A85" w:rsidRPr="00B9135F" w:rsidRDefault="00695202" w:rsidP="0010079B">
            <w:pPr>
              <w:jc w:val="left"/>
            </w:pPr>
            <w:r>
              <w:t>e) R6</w:t>
            </w:r>
          </w:p>
        </w:tc>
        <w:tc>
          <w:tcPr>
            <w:tcW w:w="8028" w:type="dxa"/>
          </w:tcPr>
          <w:p w14:paraId="3F13597E" w14:textId="77777777" w:rsidR="00D74A85" w:rsidRPr="005D0741" w:rsidRDefault="005D0741" w:rsidP="0010079B">
            <w:pPr>
              <w:jc w:val="left"/>
              <w:rPr>
                <w:b/>
                <w:i/>
              </w:rPr>
            </w:pPr>
            <w:r w:rsidRPr="005D0741">
              <w:rPr>
                <w:b/>
                <w:i/>
              </w:rPr>
              <w:t>Contaminated land and ground water</w:t>
            </w:r>
          </w:p>
          <w:p w14:paraId="03615139" w14:textId="645D0ED0" w:rsidR="005D0741" w:rsidRDefault="005D0741" w:rsidP="0010079B">
            <w:pPr>
              <w:jc w:val="left"/>
              <w:rPr>
                <w:b/>
              </w:rPr>
            </w:pPr>
            <w:r>
              <w:t>Discussion and explanation of drafting</w:t>
            </w:r>
          </w:p>
        </w:tc>
      </w:tr>
      <w:tr w:rsidR="00D74A85" w14:paraId="518530EA" w14:textId="77777777" w:rsidTr="00143F62">
        <w:tc>
          <w:tcPr>
            <w:tcW w:w="988" w:type="dxa"/>
            <w:shd w:val="clear" w:color="auto" w:fill="E7E6E6" w:themeFill="background2"/>
          </w:tcPr>
          <w:p w14:paraId="05385E27" w14:textId="349B16AB" w:rsidR="00D74A85" w:rsidRPr="00B9135F" w:rsidRDefault="005871B9" w:rsidP="0010079B">
            <w:pPr>
              <w:jc w:val="left"/>
            </w:pPr>
            <w:r>
              <w:t>f) R</w:t>
            </w:r>
            <w:r w:rsidR="00980E5A">
              <w:t>8</w:t>
            </w:r>
          </w:p>
        </w:tc>
        <w:tc>
          <w:tcPr>
            <w:tcW w:w="8028" w:type="dxa"/>
          </w:tcPr>
          <w:p w14:paraId="06C3CCB6" w14:textId="77777777" w:rsidR="00D74A85" w:rsidRDefault="00980E5A" w:rsidP="0010079B">
            <w:pPr>
              <w:jc w:val="left"/>
              <w:rPr>
                <w:b/>
                <w:i/>
              </w:rPr>
            </w:pPr>
            <w:r w:rsidRPr="00980E5A">
              <w:rPr>
                <w:b/>
                <w:i/>
              </w:rPr>
              <w:t>Surface and foul water drainage</w:t>
            </w:r>
          </w:p>
          <w:p w14:paraId="07A7F596" w14:textId="318AA232" w:rsidR="00980E5A" w:rsidRPr="00980E5A" w:rsidRDefault="00BA4536" w:rsidP="0010079B">
            <w:pPr>
              <w:jc w:val="left"/>
            </w:pPr>
            <w:r>
              <w:t>Explanation of 8(2) and</w:t>
            </w:r>
            <w:r w:rsidR="00B35B51">
              <w:t xml:space="preserve"> wording of 8(3)</w:t>
            </w:r>
          </w:p>
        </w:tc>
      </w:tr>
      <w:tr w:rsidR="00D74A85" w:rsidRPr="00B9135F" w14:paraId="0B4E2EA2" w14:textId="77777777" w:rsidTr="00143F62">
        <w:tc>
          <w:tcPr>
            <w:tcW w:w="988" w:type="dxa"/>
            <w:shd w:val="clear" w:color="auto" w:fill="E7E6E6" w:themeFill="background2"/>
          </w:tcPr>
          <w:p w14:paraId="414246C0" w14:textId="17BADAE9" w:rsidR="00D74A85" w:rsidRPr="00B9135F" w:rsidRDefault="00B1473D" w:rsidP="0010079B">
            <w:pPr>
              <w:jc w:val="left"/>
            </w:pPr>
            <w:r>
              <w:t>g) R9</w:t>
            </w:r>
          </w:p>
        </w:tc>
        <w:tc>
          <w:tcPr>
            <w:tcW w:w="8028" w:type="dxa"/>
          </w:tcPr>
          <w:p w14:paraId="1D75EA84" w14:textId="77777777" w:rsidR="00D74A85" w:rsidRDefault="004164BF" w:rsidP="0010079B">
            <w:pPr>
              <w:jc w:val="left"/>
              <w:rPr>
                <w:b/>
                <w:i/>
              </w:rPr>
            </w:pPr>
            <w:r w:rsidRPr="004164BF">
              <w:rPr>
                <w:b/>
                <w:i/>
              </w:rPr>
              <w:t>Archaeological remains</w:t>
            </w:r>
          </w:p>
          <w:p w14:paraId="26A10BCB" w14:textId="52058481" w:rsidR="004164BF" w:rsidRPr="004164BF" w:rsidRDefault="004164BF" w:rsidP="0010079B">
            <w:pPr>
              <w:jc w:val="left"/>
              <w:rPr>
                <w:b/>
                <w:i/>
              </w:rPr>
            </w:pPr>
            <w:r>
              <w:t>i) Need for Historic England to be a consultee and (ii) relationship with ‘Archaeological Mitigation Strategy’ sought through R4</w:t>
            </w:r>
          </w:p>
        </w:tc>
      </w:tr>
      <w:tr w:rsidR="00D74A85" w14:paraId="307C280B" w14:textId="77777777" w:rsidTr="00143F62">
        <w:tc>
          <w:tcPr>
            <w:tcW w:w="988" w:type="dxa"/>
            <w:shd w:val="clear" w:color="auto" w:fill="E7E6E6" w:themeFill="background2"/>
          </w:tcPr>
          <w:p w14:paraId="515FC60E" w14:textId="00D98D93" w:rsidR="00D74A85" w:rsidRPr="00B9135F" w:rsidRDefault="004164BF" w:rsidP="0010079B">
            <w:pPr>
              <w:jc w:val="left"/>
            </w:pPr>
            <w:r>
              <w:t>h) R10</w:t>
            </w:r>
          </w:p>
        </w:tc>
        <w:tc>
          <w:tcPr>
            <w:tcW w:w="8028" w:type="dxa"/>
          </w:tcPr>
          <w:p w14:paraId="416A1D80" w14:textId="77777777" w:rsidR="00D74A85" w:rsidRPr="004164BF" w:rsidRDefault="004164BF" w:rsidP="0010079B">
            <w:pPr>
              <w:jc w:val="left"/>
              <w:rPr>
                <w:b/>
                <w:i/>
              </w:rPr>
            </w:pPr>
            <w:r w:rsidRPr="004164BF">
              <w:rPr>
                <w:b/>
                <w:i/>
              </w:rPr>
              <w:t>Traffic management</w:t>
            </w:r>
          </w:p>
          <w:p w14:paraId="7D93F71E" w14:textId="38E6CCBC" w:rsidR="004164BF" w:rsidRDefault="004164BF" w:rsidP="0010079B">
            <w:pPr>
              <w:jc w:val="left"/>
              <w:rPr>
                <w:b/>
              </w:rPr>
            </w:pPr>
            <w:r>
              <w:t>i) Does consultation need to go beyond the ‘relevant planning authority’ and ii) relationship with Construction Traffic Management Plan [Appendix B of APP-174]</w:t>
            </w:r>
          </w:p>
        </w:tc>
      </w:tr>
      <w:tr w:rsidR="00D74A85" w14:paraId="3A8E1467" w14:textId="77777777" w:rsidTr="00143F62">
        <w:tc>
          <w:tcPr>
            <w:tcW w:w="988" w:type="dxa"/>
            <w:shd w:val="clear" w:color="auto" w:fill="E7E6E6" w:themeFill="background2"/>
          </w:tcPr>
          <w:p w14:paraId="26190870" w14:textId="3DEA54F5" w:rsidR="00D74A85" w:rsidRPr="00B9135F" w:rsidRDefault="004164BF" w:rsidP="0010079B">
            <w:pPr>
              <w:jc w:val="left"/>
            </w:pPr>
            <w:r>
              <w:t xml:space="preserve">i) R12 </w:t>
            </w:r>
          </w:p>
        </w:tc>
        <w:tc>
          <w:tcPr>
            <w:tcW w:w="8028" w:type="dxa"/>
          </w:tcPr>
          <w:p w14:paraId="37C057DA" w14:textId="77777777" w:rsidR="00D74A85" w:rsidRDefault="004164BF" w:rsidP="0010079B">
            <w:pPr>
              <w:jc w:val="left"/>
              <w:rPr>
                <w:b/>
                <w:i/>
              </w:rPr>
            </w:pPr>
            <w:r w:rsidRPr="004164BF">
              <w:rPr>
                <w:b/>
                <w:i/>
              </w:rPr>
              <w:t>Pedestrians, cyclists and horse riding facilities</w:t>
            </w:r>
          </w:p>
          <w:p w14:paraId="33220106" w14:textId="11BEFFE8" w:rsidR="00AF44AE" w:rsidRPr="00AF44AE" w:rsidRDefault="00AF44AE" w:rsidP="0010079B">
            <w:pPr>
              <w:jc w:val="left"/>
            </w:pPr>
            <w:r>
              <w:t>Details of timing</w:t>
            </w:r>
          </w:p>
        </w:tc>
      </w:tr>
      <w:tr w:rsidR="00D74A85" w14:paraId="3CEC032A" w14:textId="77777777" w:rsidTr="00143F62">
        <w:tc>
          <w:tcPr>
            <w:tcW w:w="988" w:type="dxa"/>
            <w:shd w:val="clear" w:color="auto" w:fill="E7E6E6" w:themeFill="background2"/>
          </w:tcPr>
          <w:p w14:paraId="77B1895C" w14:textId="01A28CFC" w:rsidR="00D74A85" w:rsidRPr="00B9135F" w:rsidRDefault="007F652A" w:rsidP="0010079B">
            <w:pPr>
              <w:jc w:val="left"/>
            </w:pPr>
            <w:r>
              <w:t>j) R14</w:t>
            </w:r>
          </w:p>
        </w:tc>
        <w:tc>
          <w:tcPr>
            <w:tcW w:w="8028" w:type="dxa"/>
          </w:tcPr>
          <w:p w14:paraId="197A8D6D" w14:textId="77777777" w:rsidR="00D74A85" w:rsidRPr="007F652A" w:rsidRDefault="007F652A" w:rsidP="0010079B">
            <w:pPr>
              <w:jc w:val="left"/>
              <w:rPr>
                <w:b/>
                <w:i/>
              </w:rPr>
            </w:pPr>
            <w:r w:rsidRPr="007F652A">
              <w:rPr>
                <w:b/>
                <w:i/>
              </w:rPr>
              <w:t>Allerdene bridge replacement</w:t>
            </w:r>
          </w:p>
          <w:p w14:paraId="2D76AD88" w14:textId="2FBFA61A" w:rsidR="007F652A" w:rsidRDefault="007F652A" w:rsidP="0010079B">
            <w:pPr>
              <w:jc w:val="left"/>
              <w:rPr>
                <w:b/>
              </w:rPr>
            </w:pPr>
            <w:r>
              <w:t>i) Use of term ‘generally in accordance’ and ii) general wording and iii) need for separate article?</w:t>
            </w:r>
          </w:p>
        </w:tc>
      </w:tr>
      <w:tr w:rsidR="00D74A85" w14:paraId="01565F01" w14:textId="77777777" w:rsidTr="00143F62">
        <w:tc>
          <w:tcPr>
            <w:tcW w:w="988" w:type="dxa"/>
            <w:shd w:val="clear" w:color="auto" w:fill="E7E6E6" w:themeFill="background2"/>
          </w:tcPr>
          <w:p w14:paraId="4542240B" w14:textId="2629C939" w:rsidR="00D74A85" w:rsidRPr="00B9135F" w:rsidRDefault="000A4F3F" w:rsidP="0010079B">
            <w:pPr>
              <w:jc w:val="left"/>
            </w:pPr>
            <w:r>
              <w:t>k) R15</w:t>
            </w:r>
          </w:p>
        </w:tc>
        <w:tc>
          <w:tcPr>
            <w:tcW w:w="8028" w:type="dxa"/>
          </w:tcPr>
          <w:p w14:paraId="351CC6BC" w14:textId="77777777" w:rsidR="00D74A85" w:rsidRPr="000A4F3F" w:rsidRDefault="000A4F3F" w:rsidP="0010079B">
            <w:pPr>
              <w:jc w:val="left"/>
              <w:rPr>
                <w:b/>
                <w:i/>
              </w:rPr>
            </w:pPr>
            <w:r w:rsidRPr="000A4F3F">
              <w:rPr>
                <w:b/>
                <w:i/>
              </w:rPr>
              <w:t>Primary Design Mitigation</w:t>
            </w:r>
          </w:p>
          <w:p w14:paraId="2A906A9A" w14:textId="723F5114" w:rsidR="000A4F3F" w:rsidRDefault="000A4F3F" w:rsidP="0010079B">
            <w:pPr>
              <w:jc w:val="left"/>
              <w:rPr>
                <w:b/>
              </w:rPr>
            </w:pPr>
            <w:r>
              <w:t>Discussion and explanation of drafting</w:t>
            </w:r>
          </w:p>
        </w:tc>
      </w:tr>
      <w:tr w:rsidR="00D74A85" w14:paraId="697ACA5A" w14:textId="77777777" w:rsidTr="00143F62">
        <w:tc>
          <w:tcPr>
            <w:tcW w:w="988" w:type="dxa"/>
            <w:shd w:val="clear" w:color="auto" w:fill="E7E6E6" w:themeFill="background2"/>
          </w:tcPr>
          <w:p w14:paraId="698760A8" w14:textId="5F4C05C1" w:rsidR="00D74A85" w:rsidRPr="00B9135F" w:rsidRDefault="00A51225" w:rsidP="0010079B">
            <w:pPr>
              <w:jc w:val="left"/>
            </w:pPr>
            <w:r>
              <w:t>l)</w:t>
            </w:r>
          </w:p>
        </w:tc>
        <w:tc>
          <w:tcPr>
            <w:tcW w:w="8028" w:type="dxa"/>
          </w:tcPr>
          <w:p w14:paraId="10175093" w14:textId="386C2AD9" w:rsidR="00D74A85" w:rsidRDefault="00A51225" w:rsidP="0010079B">
            <w:pPr>
              <w:jc w:val="left"/>
              <w:rPr>
                <w:b/>
              </w:rPr>
            </w:pPr>
            <w:r>
              <w:t>Need for additional requirements in relation to measures CH5 and CH6 of the outline CEMP [APP-174] as suggested in relevant representation from Historic England [RR-006]</w:t>
            </w:r>
          </w:p>
        </w:tc>
      </w:tr>
      <w:tr w:rsidR="00D74A85" w14:paraId="5B6E93CE" w14:textId="77777777" w:rsidTr="00143F62">
        <w:tc>
          <w:tcPr>
            <w:tcW w:w="988" w:type="dxa"/>
            <w:shd w:val="clear" w:color="auto" w:fill="E7E6E6" w:themeFill="background2"/>
          </w:tcPr>
          <w:p w14:paraId="26B1CC51" w14:textId="3D5F82DE" w:rsidR="00D74A85" w:rsidRPr="00B9135F" w:rsidRDefault="00A51225" w:rsidP="0010079B">
            <w:pPr>
              <w:jc w:val="left"/>
            </w:pPr>
            <w:r>
              <w:t xml:space="preserve">m) </w:t>
            </w:r>
          </w:p>
        </w:tc>
        <w:tc>
          <w:tcPr>
            <w:tcW w:w="8028" w:type="dxa"/>
          </w:tcPr>
          <w:p w14:paraId="006FC894" w14:textId="241E5E5E" w:rsidR="00A51225" w:rsidRDefault="00A51225" w:rsidP="00A51225">
            <w:pPr>
              <w:jc w:val="left"/>
              <w:rPr>
                <w:b/>
              </w:rPr>
            </w:pPr>
            <w:r w:rsidRPr="00A51225">
              <w:t>Any other matters on draft requirements</w:t>
            </w:r>
          </w:p>
        </w:tc>
      </w:tr>
    </w:tbl>
    <w:p w14:paraId="370425C4" w14:textId="57CCD4DE" w:rsidR="00D74A85" w:rsidRDefault="00D74A85" w:rsidP="001378E3">
      <w:pPr>
        <w:jc w:val="left"/>
      </w:pPr>
    </w:p>
    <w:p w14:paraId="680F32E5" w14:textId="49454446" w:rsidR="00A51225" w:rsidRDefault="00A51225" w:rsidP="001378E3">
      <w:pPr>
        <w:jc w:val="left"/>
        <w:rPr>
          <w:i/>
        </w:rPr>
      </w:pPr>
      <w:r w:rsidRPr="00253500">
        <w:rPr>
          <w:i/>
        </w:rPr>
        <w:t>Part 2</w:t>
      </w:r>
      <w:r w:rsidR="00253500" w:rsidRPr="00253500">
        <w:rPr>
          <w:i/>
        </w:rPr>
        <w:t>- Procedure for discharge of requirements</w:t>
      </w:r>
    </w:p>
    <w:p w14:paraId="0159177C" w14:textId="51E6B2A8" w:rsidR="00253500" w:rsidRDefault="00253500" w:rsidP="001378E3">
      <w:pPr>
        <w:jc w:val="left"/>
        <w:rPr>
          <w:i/>
        </w:rPr>
      </w:pPr>
    </w:p>
    <w:p w14:paraId="1A60C33B" w14:textId="37487DE5" w:rsidR="00253500" w:rsidRDefault="00253500" w:rsidP="001378E3">
      <w:pPr>
        <w:jc w:val="left"/>
      </w:pPr>
      <w:r>
        <w:t xml:space="preserve">a) </w:t>
      </w:r>
      <w:r w:rsidR="00CD665A">
        <w:t>Discussion on procedures for discharge of requirements</w:t>
      </w:r>
    </w:p>
    <w:p w14:paraId="4BCDCF10" w14:textId="77777777" w:rsidR="00CD665A" w:rsidRDefault="00CD665A" w:rsidP="001378E3">
      <w:pPr>
        <w:jc w:val="left"/>
      </w:pPr>
    </w:p>
    <w:p w14:paraId="3175981B" w14:textId="149DE982" w:rsidR="00D15FAE" w:rsidRDefault="00CD665A" w:rsidP="001378E3">
      <w:pPr>
        <w:jc w:val="left"/>
      </w:pPr>
      <w:r>
        <w:t>b) Article 19 – Possible need for updates to draft requirements in the event of anticipatory steps being taken.</w:t>
      </w:r>
    </w:p>
    <w:p w14:paraId="25E8F59A" w14:textId="06F9C0FA" w:rsidR="002B00C7" w:rsidRDefault="002B00C7" w:rsidP="001378E3">
      <w:pPr>
        <w:jc w:val="left"/>
      </w:pPr>
    </w:p>
    <w:p w14:paraId="366CF7C9" w14:textId="55D73125" w:rsidR="00DD760B" w:rsidRDefault="00DD760B" w:rsidP="001378E3">
      <w:pPr>
        <w:jc w:val="left"/>
        <w:rPr>
          <w:b/>
        </w:rPr>
      </w:pPr>
      <w:r w:rsidRPr="00E61210">
        <w:rPr>
          <w:b/>
        </w:rPr>
        <w:t xml:space="preserve">6.  Schedule </w:t>
      </w:r>
      <w:r w:rsidR="00E61210" w:rsidRPr="00E61210">
        <w:rPr>
          <w:b/>
        </w:rPr>
        <w:t>11 – Protective Provisions</w:t>
      </w:r>
    </w:p>
    <w:p w14:paraId="3B852C49" w14:textId="7F00D02C" w:rsidR="00E61210" w:rsidRDefault="00E61210" w:rsidP="001378E3">
      <w:pPr>
        <w:jc w:val="left"/>
        <w:rPr>
          <w:b/>
        </w:rPr>
      </w:pPr>
    </w:p>
    <w:p w14:paraId="5D3F1827" w14:textId="53EED57E" w:rsidR="00E61210" w:rsidRPr="00E61210" w:rsidRDefault="00E61210" w:rsidP="001378E3">
      <w:pPr>
        <w:jc w:val="left"/>
      </w:pPr>
      <w:r w:rsidRPr="00E61210">
        <w:t>a)</w:t>
      </w:r>
      <w:r>
        <w:t xml:space="preserve"> </w:t>
      </w:r>
      <w:r w:rsidR="007F12C2">
        <w:t>Update on discussions with relevant statutory undertakers</w:t>
      </w:r>
      <w:r>
        <w:tab/>
      </w:r>
    </w:p>
    <w:p w14:paraId="4E8912DD" w14:textId="77777777" w:rsidR="00DD760B" w:rsidRDefault="00DD760B" w:rsidP="001378E3">
      <w:pPr>
        <w:jc w:val="left"/>
      </w:pPr>
    </w:p>
    <w:p w14:paraId="3BE9B4C7" w14:textId="620C8D2B" w:rsidR="006E6422" w:rsidRPr="006E6422" w:rsidRDefault="007309E8" w:rsidP="001378E3">
      <w:pPr>
        <w:jc w:val="left"/>
        <w:rPr>
          <w:b/>
        </w:rPr>
      </w:pPr>
      <w:r>
        <w:rPr>
          <w:b/>
        </w:rPr>
        <w:t>7</w:t>
      </w:r>
      <w:r w:rsidR="002B00C7" w:rsidRPr="006E6422">
        <w:rPr>
          <w:b/>
        </w:rPr>
        <w:t>.  Next Steps</w:t>
      </w:r>
      <w:r>
        <w:rPr>
          <w:b/>
        </w:rPr>
        <w:t xml:space="preserve"> </w:t>
      </w:r>
      <w:r w:rsidR="00693F83">
        <w:rPr>
          <w:b/>
        </w:rPr>
        <w:t>including</w:t>
      </w:r>
      <w:r>
        <w:rPr>
          <w:b/>
        </w:rPr>
        <w:t xml:space="preserve"> Statements of Common Ground</w:t>
      </w:r>
    </w:p>
    <w:p w14:paraId="2C0A41BA" w14:textId="77777777" w:rsidR="006E6422" w:rsidRDefault="006E6422" w:rsidP="001378E3">
      <w:pPr>
        <w:jc w:val="left"/>
      </w:pPr>
    </w:p>
    <w:p w14:paraId="153E7E0E" w14:textId="7426931B" w:rsidR="001378E3" w:rsidRPr="006E6422" w:rsidRDefault="007309E8" w:rsidP="001378E3">
      <w:pPr>
        <w:jc w:val="left"/>
        <w:rPr>
          <w:b/>
        </w:rPr>
      </w:pPr>
      <w:r>
        <w:rPr>
          <w:b/>
        </w:rPr>
        <w:t>8</w:t>
      </w:r>
      <w:r w:rsidR="006E6422" w:rsidRPr="006E6422">
        <w:rPr>
          <w:b/>
        </w:rPr>
        <w:t>.  Closing</w:t>
      </w:r>
      <w:r w:rsidR="001378E3" w:rsidRPr="006E6422">
        <w:rPr>
          <w:b/>
        </w:rPr>
        <w:tab/>
      </w:r>
    </w:p>
    <w:p w14:paraId="197689A6" w14:textId="77777777" w:rsidR="001378E3" w:rsidRDefault="001378E3" w:rsidP="001378E3">
      <w:pPr>
        <w:jc w:val="left"/>
      </w:pPr>
    </w:p>
    <w:p w14:paraId="738B5F5F" w14:textId="77777777" w:rsidR="001378E3" w:rsidRDefault="001378E3" w:rsidP="001378E3">
      <w:pPr>
        <w:jc w:val="left"/>
      </w:pPr>
    </w:p>
    <w:p w14:paraId="44D6B6F3" w14:textId="77777777" w:rsidR="00106BA6" w:rsidRDefault="00106BA6"/>
    <w:sectPr w:rsidR="00106B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7963"/>
    <w:multiLevelType w:val="hybridMultilevel"/>
    <w:tmpl w:val="22F67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896"/>
    <w:rsid w:val="000327F7"/>
    <w:rsid w:val="00053C3C"/>
    <w:rsid w:val="00061ADB"/>
    <w:rsid w:val="0008194C"/>
    <w:rsid w:val="000864D4"/>
    <w:rsid w:val="000909D9"/>
    <w:rsid w:val="00091794"/>
    <w:rsid w:val="000A155E"/>
    <w:rsid w:val="000A2968"/>
    <w:rsid w:val="000A4F3F"/>
    <w:rsid w:val="000D01B6"/>
    <w:rsid w:val="000E1FAB"/>
    <w:rsid w:val="000E4E81"/>
    <w:rsid w:val="000E5BE6"/>
    <w:rsid w:val="00106BA6"/>
    <w:rsid w:val="001106C7"/>
    <w:rsid w:val="0011435A"/>
    <w:rsid w:val="00120657"/>
    <w:rsid w:val="001235D3"/>
    <w:rsid w:val="001270C2"/>
    <w:rsid w:val="001378E3"/>
    <w:rsid w:val="00143F62"/>
    <w:rsid w:val="00185867"/>
    <w:rsid w:val="0019196B"/>
    <w:rsid w:val="001A67A3"/>
    <w:rsid w:val="001A6C64"/>
    <w:rsid w:val="00216707"/>
    <w:rsid w:val="00231F14"/>
    <w:rsid w:val="002507C7"/>
    <w:rsid w:val="00252491"/>
    <w:rsid w:val="00253500"/>
    <w:rsid w:val="002632E5"/>
    <w:rsid w:val="002635D7"/>
    <w:rsid w:val="00277FD2"/>
    <w:rsid w:val="0028174F"/>
    <w:rsid w:val="00286F52"/>
    <w:rsid w:val="002A1AEB"/>
    <w:rsid w:val="002B00C7"/>
    <w:rsid w:val="002B1BAF"/>
    <w:rsid w:val="002D53D2"/>
    <w:rsid w:val="002D5696"/>
    <w:rsid w:val="002D6831"/>
    <w:rsid w:val="002E073C"/>
    <w:rsid w:val="002F2F72"/>
    <w:rsid w:val="00303C6C"/>
    <w:rsid w:val="0031676C"/>
    <w:rsid w:val="00337186"/>
    <w:rsid w:val="00347C3C"/>
    <w:rsid w:val="00362566"/>
    <w:rsid w:val="003657FF"/>
    <w:rsid w:val="00385FA8"/>
    <w:rsid w:val="003905F7"/>
    <w:rsid w:val="003A0ADC"/>
    <w:rsid w:val="003A71F9"/>
    <w:rsid w:val="00414D21"/>
    <w:rsid w:val="004164BF"/>
    <w:rsid w:val="00431B8C"/>
    <w:rsid w:val="00460223"/>
    <w:rsid w:val="00467787"/>
    <w:rsid w:val="0047210F"/>
    <w:rsid w:val="00484F5B"/>
    <w:rsid w:val="004C1990"/>
    <w:rsid w:val="004E117A"/>
    <w:rsid w:val="004E413E"/>
    <w:rsid w:val="004E6E24"/>
    <w:rsid w:val="004F2B2D"/>
    <w:rsid w:val="004F3389"/>
    <w:rsid w:val="004F5F13"/>
    <w:rsid w:val="004F73A6"/>
    <w:rsid w:val="005132E6"/>
    <w:rsid w:val="00540996"/>
    <w:rsid w:val="00541837"/>
    <w:rsid w:val="00547360"/>
    <w:rsid w:val="005871B9"/>
    <w:rsid w:val="0058782B"/>
    <w:rsid w:val="005A6E24"/>
    <w:rsid w:val="005C65CF"/>
    <w:rsid w:val="005D0741"/>
    <w:rsid w:val="005D2A3B"/>
    <w:rsid w:val="005D7CD4"/>
    <w:rsid w:val="005F684C"/>
    <w:rsid w:val="00600736"/>
    <w:rsid w:val="00603A9B"/>
    <w:rsid w:val="00605896"/>
    <w:rsid w:val="0061288A"/>
    <w:rsid w:val="00625DB5"/>
    <w:rsid w:val="006354B3"/>
    <w:rsid w:val="006453BC"/>
    <w:rsid w:val="00646633"/>
    <w:rsid w:val="006708A0"/>
    <w:rsid w:val="00673FC1"/>
    <w:rsid w:val="006754E0"/>
    <w:rsid w:val="00693F83"/>
    <w:rsid w:val="00695202"/>
    <w:rsid w:val="006B2416"/>
    <w:rsid w:val="006B2800"/>
    <w:rsid w:val="006B4E40"/>
    <w:rsid w:val="006B6C5F"/>
    <w:rsid w:val="006D241E"/>
    <w:rsid w:val="006D6E84"/>
    <w:rsid w:val="006E6422"/>
    <w:rsid w:val="0071086C"/>
    <w:rsid w:val="00721DDA"/>
    <w:rsid w:val="00724B7A"/>
    <w:rsid w:val="007309E8"/>
    <w:rsid w:val="00740617"/>
    <w:rsid w:val="00760246"/>
    <w:rsid w:val="007660B0"/>
    <w:rsid w:val="007B57CB"/>
    <w:rsid w:val="007D057F"/>
    <w:rsid w:val="007E7A5B"/>
    <w:rsid w:val="007F12C2"/>
    <w:rsid w:val="007F652A"/>
    <w:rsid w:val="007F67B5"/>
    <w:rsid w:val="008070F1"/>
    <w:rsid w:val="008444E4"/>
    <w:rsid w:val="008470B5"/>
    <w:rsid w:val="008513AC"/>
    <w:rsid w:val="008550E1"/>
    <w:rsid w:val="00882405"/>
    <w:rsid w:val="008838CC"/>
    <w:rsid w:val="008B5388"/>
    <w:rsid w:val="008C0D6A"/>
    <w:rsid w:val="008C0E73"/>
    <w:rsid w:val="008D393A"/>
    <w:rsid w:val="008E1CA0"/>
    <w:rsid w:val="00904114"/>
    <w:rsid w:val="0092319C"/>
    <w:rsid w:val="0095074E"/>
    <w:rsid w:val="00970340"/>
    <w:rsid w:val="00971541"/>
    <w:rsid w:val="009725BC"/>
    <w:rsid w:val="0097793B"/>
    <w:rsid w:val="00980E5A"/>
    <w:rsid w:val="009B070E"/>
    <w:rsid w:val="009C625B"/>
    <w:rsid w:val="009D5956"/>
    <w:rsid w:val="009D798A"/>
    <w:rsid w:val="00A26155"/>
    <w:rsid w:val="00A51225"/>
    <w:rsid w:val="00A56F34"/>
    <w:rsid w:val="00A6573F"/>
    <w:rsid w:val="00A66F5F"/>
    <w:rsid w:val="00A72665"/>
    <w:rsid w:val="00A75224"/>
    <w:rsid w:val="00A76C3F"/>
    <w:rsid w:val="00A9317E"/>
    <w:rsid w:val="00AA5F0D"/>
    <w:rsid w:val="00AA72C0"/>
    <w:rsid w:val="00AB1EAD"/>
    <w:rsid w:val="00AB548E"/>
    <w:rsid w:val="00AB77B7"/>
    <w:rsid w:val="00AD14D0"/>
    <w:rsid w:val="00AE0968"/>
    <w:rsid w:val="00AE277A"/>
    <w:rsid w:val="00AF1398"/>
    <w:rsid w:val="00AF44AE"/>
    <w:rsid w:val="00AF51A2"/>
    <w:rsid w:val="00AF5F13"/>
    <w:rsid w:val="00B04B15"/>
    <w:rsid w:val="00B1473D"/>
    <w:rsid w:val="00B34302"/>
    <w:rsid w:val="00B35B51"/>
    <w:rsid w:val="00B41856"/>
    <w:rsid w:val="00B639D1"/>
    <w:rsid w:val="00B75ED6"/>
    <w:rsid w:val="00B83917"/>
    <w:rsid w:val="00B86ADD"/>
    <w:rsid w:val="00B9135F"/>
    <w:rsid w:val="00BA4536"/>
    <w:rsid w:val="00BB51F7"/>
    <w:rsid w:val="00BC66D5"/>
    <w:rsid w:val="00C07004"/>
    <w:rsid w:val="00C12101"/>
    <w:rsid w:val="00C2020B"/>
    <w:rsid w:val="00C20FE4"/>
    <w:rsid w:val="00C2182C"/>
    <w:rsid w:val="00C22FA7"/>
    <w:rsid w:val="00C27021"/>
    <w:rsid w:val="00C36042"/>
    <w:rsid w:val="00C516A6"/>
    <w:rsid w:val="00C52153"/>
    <w:rsid w:val="00C56EBF"/>
    <w:rsid w:val="00C60483"/>
    <w:rsid w:val="00C65E45"/>
    <w:rsid w:val="00C70983"/>
    <w:rsid w:val="00C82984"/>
    <w:rsid w:val="00CC7A94"/>
    <w:rsid w:val="00CD470A"/>
    <w:rsid w:val="00CD665A"/>
    <w:rsid w:val="00CE4586"/>
    <w:rsid w:val="00D10C8E"/>
    <w:rsid w:val="00D15FAE"/>
    <w:rsid w:val="00D2495D"/>
    <w:rsid w:val="00D30982"/>
    <w:rsid w:val="00D31D76"/>
    <w:rsid w:val="00D3721A"/>
    <w:rsid w:val="00D45E74"/>
    <w:rsid w:val="00D475CC"/>
    <w:rsid w:val="00D521CE"/>
    <w:rsid w:val="00D532C0"/>
    <w:rsid w:val="00D61F6F"/>
    <w:rsid w:val="00D74A85"/>
    <w:rsid w:val="00D76AC9"/>
    <w:rsid w:val="00D80353"/>
    <w:rsid w:val="00D92B1F"/>
    <w:rsid w:val="00D93447"/>
    <w:rsid w:val="00D977B3"/>
    <w:rsid w:val="00DA0289"/>
    <w:rsid w:val="00DC5F17"/>
    <w:rsid w:val="00DD760B"/>
    <w:rsid w:val="00DD7EE3"/>
    <w:rsid w:val="00DE245D"/>
    <w:rsid w:val="00DE4437"/>
    <w:rsid w:val="00DE5BEC"/>
    <w:rsid w:val="00DF4C61"/>
    <w:rsid w:val="00E21C45"/>
    <w:rsid w:val="00E23274"/>
    <w:rsid w:val="00E26706"/>
    <w:rsid w:val="00E61210"/>
    <w:rsid w:val="00E740F4"/>
    <w:rsid w:val="00E93544"/>
    <w:rsid w:val="00EB4DA7"/>
    <w:rsid w:val="00EC2730"/>
    <w:rsid w:val="00ED72CE"/>
    <w:rsid w:val="00EE0B80"/>
    <w:rsid w:val="00F0280B"/>
    <w:rsid w:val="00F47FF0"/>
    <w:rsid w:val="00F548C5"/>
    <w:rsid w:val="00F614A5"/>
    <w:rsid w:val="00F6705D"/>
    <w:rsid w:val="00F72202"/>
    <w:rsid w:val="00F77425"/>
    <w:rsid w:val="00F80069"/>
    <w:rsid w:val="00F80F9F"/>
    <w:rsid w:val="00F838A9"/>
    <w:rsid w:val="00F84B33"/>
    <w:rsid w:val="00F9100B"/>
    <w:rsid w:val="00F94E38"/>
    <w:rsid w:val="00F95D6A"/>
    <w:rsid w:val="00FA23EF"/>
    <w:rsid w:val="00FC50E4"/>
    <w:rsid w:val="00FC5E4B"/>
    <w:rsid w:val="00FF1C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34904"/>
  <w15:chartTrackingRefBased/>
  <w15:docId w15:val="{26665FA8-A7F4-4728-A0E9-8BF52D992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5896"/>
    <w:pPr>
      <w:spacing w:after="0" w:line="240" w:lineRule="auto"/>
      <w:jc w:val="both"/>
    </w:pPr>
    <w:rPr>
      <w:rFonts w:ascii="Verdana" w:eastAsia="Times New Roman" w:hAnsi="Verdana"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896"/>
    <w:pPr>
      <w:ind w:left="720"/>
      <w:contextualSpacing/>
    </w:pPr>
  </w:style>
  <w:style w:type="table" w:styleId="TableGrid">
    <w:name w:val="Table Grid"/>
    <w:basedOn w:val="TableNormal"/>
    <w:uiPriority w:val="39"/>
    <w:rsid w:val="00721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29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499A5744D14B4B92DD49B2C7BC5F6E" ma:contentTypeVersion="4" ma:contentTypeDescription="Create a new document." ma:contentTypeScope="" ma:versionID="cf8feeb69e387a4613bc5fbab2db6c4e">
  <xsd:schema xmlns:xsd="http://www.w3.org/2001/XMLSchema" xmlns:xs="http://www.w3.org/2001/XMLSchema" xmlns:p="http://schemas.microsoft.com/office/2006/metadata/properties" xmlns:ns3="c781fcaa-52e1-4021-a8d3-b66c85bc600e" targetNamespace="http://schemas.microsoft.com/office/2006/metadata/properties" ma:root="true" ma:fieldsID="ab2c6345b12c76f33b75e8aae310dd76" ns3:_="">
    <xsd:import namespace="c781fcaa-52e1-4021-a8d3-b66c85bc600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81fcaa-52e1-4021-a8d3-b66c85bc60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D161BC-AF37-4652-B9F7-47FE2F24EB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2F6CFA-3648-43E5-97DF-87D093EBAE1B}">
  <ds:schemaRefs>
    <ds:schemaRef ds:uri="http://schemas.microsoft.com/sharepoint/v3/contenttype/forms"/>
  </ds:schemaRefs>
</ds:datastoreItem>
</file>

<file path=customXml/itemProps3.xml><?xml version="1.0" encoding="utf-8"?>
<ds:datastoreItem xmlns:ds="http://schemas.openxmlformats.org/officeDocument/2006/customXml" ds:itemID="{1162BE8D-C396-49F2-AB4E-98F6F13D10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81fcaa-52e1-4021-a8d3-b66c85bc60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 David</dc:creator>
  <cp:keywords/>
  <dc:description/>
  <cp:lastModifiedBy>Cliff, David</cp:lastModifiedBy>
  <cp:revision>7</cp:revision>
  <dcterms:created xsi:type="dcterms:W3CDTF">2020-01-10T14:50:00Z</dcterms:created>
  <dcterms:modified xsi:type="dcterms:W3CDTF">2020-01-14T14:48:00Z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0x010100A1499A5744D14B4B92DD49B2C7BC5F6E</vt:lpwstr>
  </property>
</Properties>
</file>